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BD" w:rsidRDefault="00D64BBD" w:rsidP="00D64BBD">
      <w:pPr>
        <w:pStyle w:val="NormalWeb"/>
        <w:jc w:val="center"/>
      </w:pPr>
      <w:r>
        <w:rPr>
          <w:rFonts w:ascii="Verdana" w:hAnsi="Verdana"/>
          <w:b/>
          <w:bCs/>
          <w:caps/>
          <w:sz w:val="20"/>
          <w:szCs w:val="20"/>
        </w:rPr>
        <w:t xml:space="preserve">Portaria  nº 2.284, de </w:t>
      </w:r>
      <w:r>
        <w:rPr>
          <w:rFonts w:ascii="Verdana" w:hAnsi="Verdana"/>
          <w:b/>
          <w:bCs/>
          <w:sz w:val="20"/>
          <w:szCs w:val="20"/>
        </w:rPr>
        <w:t>29 DE NOVEMBRO DE 2010</w:t>
      </w:r>
    </w:p>
    <w:p w:rsidR="00D64BBD" w:rsidRDefault="00D64BBD" w:rsidP="00D64BBD">
      <w:pPr>
        <w:pStyle w:val="NormalWeb"/>
        <w:jc w:val="both"/>
      </w:pPr>
      <w:r>
        <w:rPr>
          <w:rFonts w:ascii="Verdana" w:hAnsi="Verdana"/>
          <w:sz w:val="20"/>
          <w:szCs w:val="20"/>
        </w:rPr>
        <w:t>Dispõe sobre os procedimentos a serem adotados pela Secretaria da Receita Federal do Brasil quando da constatação de pluralidade de sujeitos passivos de uma mesma obrigação tributária.</w:t>
      </w:r>
    </w:p>
    <w:p w:rsidR="00D64BBD" w:rsidRDefault="00D64BBD" w:rsidP="00D64BBD">
      <w:pPr>
        <w:pStyle w:val="NormalWeb"/>
        <w:jc w:val="both"/>
      </w:pPr>
      <w:r>
        <w:rPr>
          <w:rFonts w:ascii="Verdana" w:hAnsi="Verdana"/>
          <w:sz w:val="20"/>
          <w:szCs w:val="20"/>
        </w:rPr>
        <w:t xml:space="preserve">O Secretário da Receita Federal do Brasil, no uso da atribuição que lhe confere o inciso III do art. 261 do Regimento Interno da Secretaria da Receita Federal do Brasil, aprovado pela Portaria MF nº 125, de </w:t>
      </w:r>
      <w:proofErr w:type="gramStart"/>
      <w:r>
        <w:rPr>
          <w:rFonts w:ascii="Verdana" w:hAnsi="Verdana"/>
          <w:sz w:val="20"/>
          <w:szCs w:val="20"/>
        </w:rPr>
        <w:t>4</w:t>
      </w:r>
      <w:proofErr w:type="gramEnd"/>
      <w:r>
        <w:rPr>
          <w:rFonts w:ascii="Verdana" w:hAnsi="Verdana"/>
          <w:sz w:val="20"/>
          <w:szCs w:val="20"/>
        </w:rPr>
        <w:t xml:space="preserve"> de março de 2009,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Resolve: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Art. 1º Os processos de determinação e exigência de créditos tributários relativos aos tributos administrados pela Secretaria da Receita Federal do Brasil, nas hipóteses em que houver pluralidade de sujeitos passivos, serão disciplinados conforme o disposto nesta Portaria.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2º Os Auditores-Fiscais da Receita Federal do Brasil, na formalização da exigência, deverão, sempre que, no procedimento de constituição do crédito tributário, </w:t>
      </w:r>
      <w:proofErr w:type="gramStart"/>
      <w:r>
        <w:rPr>
          <w:rFonts w:ascii="Verdana" w:hAnsi="Verdana"/>
          <w:sz w:val="20"/>
          <w:szCs w:val="20"/>
        </w:rPr>
        <w:t>identificarem</w:t>
      </w:r>
      <w:proofErr w:type="gramEnd"/>
      <w:r>
        <w:rPr>
          <w:rFonts w:ascii="Verdana" w:hAnsi="Verdana"/>
          <w:sz w:val="20"/>
          <w:szCs w:val="20"/>
        </w:rPr>
        <w:t xml:space="preserve"> hipóteses de pluralidade de sujeitos passivos, reunir as provas necessárias para a caracterização dos responsáveis pela satisfação do crédito tributário lançado.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1º A autuação deverá conter a descrição dos fatos e o enquadramento legal das infrações apuradas e do vínculo de responsabilidade.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2º Na hipótese de que trata o caput, não será exigido Mandado de Procedimento Fiscal para os responsáveis.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3º Todos os autuados deverão ser cientificados do auto de infração, com abertura de prazo para que cada um deles apresente impugnação.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Parágrafo único. Na hipótese do caput, o prazo para impugnação é contado, para cada sujeito passivo, a partir da data em que tiver sido cientificado do lançamento.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Art. 4º O pagamento efetuado por um dos autuados aproveita aos demais.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Parágrafo único. Na hipótese de pagamento integral, perdem o objeto as impugnações ou recursos apresentados pelos demais autuados.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5º O pedido de parcelamento deferido a um dos autuados suspende a exigibilidade do crédito tributário em relação aos demais.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1º O parcelamento impede a apreciação de impugnações ou recursos apresentados pelos demais autuados.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2º Rescindido o parcelamento, o julgamento das impugnações ou recursos segue o curso normal do processo, aplicando-se o disposto no art. 7º.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6º A compensação declarada por um dos autuados, na forma do art. 74 da Lei nº 9.430, de 27 de dezembro de 1996, extingue o crédito tributário lançado sob condição resolutória de sua ulterior homologação, para todos os autuados.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§ 1º O disposto no caput impede a apreciação de impugnações ou recursos apresentados pelos demais autuados.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§ 2º Homologada a compensação declarada por um dos autuados, a extinção definitiva do crédito tributário aproveita aos demais, perdendo o objeto as impugnações ou recursos apresentados pelos demais autuados.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3º As impugnações e os recursos apresentados contra o lançamento do crédito tributário somente deverão ser encaminhados a julgamento após o trânsito em julgado da decisão que não homologar total ou parcialmente a compensação ou a considerar não declarada, observado o disposto no art. 7º.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 7º A impugnação tempestiva apresentada por um dos autuados suspende a exigibilidade do crédito tributário em relação aos demais.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1º O disposto neste artigo não se aplica na hipótese em que a impugnação versar exclusivamente sobre o vínculo de responsabilidade, caso em que só produzirá efeitos em relação ao impugnante.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2º Os autos somente serão encaminhados para julgamento depois de transcorrido o prazo para apresentação de impugnação ou recurso para todos os autuados ou impugnantes, conforme o caso.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3º No caso de impugnação quanto ao crédito tributário e quanto ao vínculo da responsabilidade e, posteriormente, recurso voluntário apenas no tocante ao vínculo, a exigência quanto ao crédito tributário torna-se definitiva para os demais autuados que não recorreram.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4º A desistência de impugnação ou recurso não prejudica os demais autuados que também impugnaram ou recorreram.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5º A decisão definitiva que afasta o vínculo de responsabilidade opera efeitos imediatos.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§ 6º Se um dos autuados pedir parcelamento ou compensação do crédito tributário lançado</w:t>
      </w:r>
      <w:proofErr w:type="gramStart"/>
      <w:r>
        <w:rPr>
          <w:rFonts w:ascii="Verdana" w:hAnsi="Verdana"/>
          <w:sz w:val="20"/>
          <w:szCs w:val="20"/>
        </w:rPr>
        <w:t>, aplica-se</w:t>
      </w:r>
      <w:proofErr w:type="gramEnd"/>
      <w:r>
        <w:rPr>
          <w:rFonts w:ascii="Verdana" w:hAnsi="Verdana"/>
          <w:sz w:val="20"/>
          <w:szCs w:val="20"/>
        </w:rPr>
        <w:t xml:space="preserve"> o disposto no art. 5º ou no art. 6º, respectivamente.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8º Na hipótese de diligência ou de perícia, de que trata o art. 18 do Decreto nº 70.235, de </w:t>
      </w:r>
      <w:proofErr w:type="gramStart"/>
      <w:r>
        <w:rPr>
          <w:rFonts w:ascii="Verdana" w:hAnsi="Verdana"/>
          <w:sz w:val="20"/>
          <w:szCs w:val="20"/>
        </w:rPr>
        <w:t>6</w:t>
      </w:r>
      <w:proofErr w:type="gramEnd"/>
      <w:r>
        <w:rPr>
          <w:rFonts w:ascii="Verdana" w:hAnsi="Verdana"/>
          <w:sz w:val="20"/>
          <w:szCs w:val="20"/>
        </w:rPr>
        <w:t xml:space="preserve"> de março de 1972, todos os autuados que impugnaram ou recorreram do crédito tributário serão cientificados do resultado, sendo-lhes concedido prazo para manifestação.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1º Aplica-se o disposto no caput, também, aos que impugnaram ou recorreram quanto ao vínculo de responsabilidade, se a diligência ou a perícia versar sobre esta matéria.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§ 2º Se da perícia ou da diligência resultar agravamento da exigência inicial, inovação ou alteração da fundamentação legal da exigência, todos os autuados serão cientificados, devolvendo-se o prazo para impugnação da matéria alterada.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9º Não cumprida </w:t>
      </w: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 xml:space="preserve"> exigência e nem impugnado o crédito tributário lançado, será declarada a revelia para todos os autuados.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Parágrafo único. No caso de impugnação apenas do vínculo de responsabilidade, a revelia se opera em relação aos demais que não impugnaram o lançamento.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Art. 10. O crédito tributário será encaminhado à Procuradoria da Fazenda Nacional, </w:t>
      </w:r>
      <w:r>
        <w:rPr>
          <w:rFonts w:ascii="Verdana" w:hAnsi="Verdana"/>
          <w:sz w:val="20"/>
          <w:szCs w:val="20"/>
        </w:rPr>
        <w:lastRenderedPageBreak/>
        <w:t>para inscrição em dívida ativa, somente após o término do prazo de cobrança amigável para todos os obrigados.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Parágrafo único. O disposto neste artigo não se aplica na hipótese em que houver pendência de julgamento exclusivamente quanto ao vínculo de responsabilidade, caso em que o encaminhamento deverá ocorrer em relação aos autuados que não discutem o </w:t>
      </w:r>
      <w:proofErr w:type="gramStart"/>
      <w:r>
        <w:rPr>
          <w:rFonts w:ascii="Verdana" w:hAnsi="Verdana"/>
          <w:sz w:val="20"/>
          <w:szCs w:val="20"/>
        </w:rPr>
        <w:t>vínculo.</w:t>
      </w:r>
      <w:proofErr w:type="gramEnd"/>
      <w:r>
        <w:rPr>
          <w:rFonts w:ascii="Verdana" w:hAnsi="Verdana"/>
          <w:sz w:val="20"/>
          <w:szCs w:val="20"/>
        </w:rPr>
        <w:t>Art. 11. Esta Portaria entra em vigor na data de sua publicação.</w:t>
      </w:r>
    </w:p>
    <w:p w:rsid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OTACÍLIO DANTAS CARTAXO</w:t>
      </w:r>
    </w:p>
    <w:p w:rsidR="00D64BBD" w:rsidRPr="00D64BBD" w:rsidRDefault="00D64BBD" w:rsidP="00D64BBD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br/>
        <w:t> </w:t>
      </w:r>
    </w:p>
    <w:p w:rsidR="001A2322" w:rsidRDefault="001A2322" w:rsidP="00D64BBD"/>
    <w:sectPr w:rsidR="001A2322" w:rsidSect="001A2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BBD"/>
    <w:rsid w:val="001A2322"/>
    <w:rsid w:val="007E7197"/>
    <w:rsid w:val="008E2801"/>
    <w:rsid w:val="00AD1745"/>
    <w:rsid w:val="00D6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01"/>
    <w:pPr>
      <w:spacing w:line="240" w:lineRule="auto"/>
      <w:jc w:val="both"/>
    </w:pPr>
    <w:rPr>
      <w:rFonts w:ascii="Verdana" w:hAnsi="Verdan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B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4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3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81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27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2011-01-21T13:50:00Z</dcterms:created>
  <dcterms:modified xsi:type="dcterms:W3CDTF">2011-01-21T13:52:00Z</dcterms:modified>
</cp:coreProperties>
</file>