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52E" w:rsidRPr="0008752E" w:rsidRDefault="0008752E" w:rsidP="000875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</w:pPr>
      <w:r w:rsidRPr="000875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AGRAVO DE INSTRUMENTO Nº 5011964-96.2013.404.0000/RS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245"/>
        <w:gridCol w:w="5421"/>
      </w:tblGrid>
      <w:tr w:rsidR="0008752E" w:rsidRPr="0008752E" w:rsidTr="0008752E">
        <w:trPr>
          <w:tblCellSpacing w:w="15" w:type="dxa"/>
        </w:trPr>
        <w:tc>
          <w:tcPr>
            <w:tcW w:w="1100" w:type="pct"/>
            <w:vAlign w:val="center"/>
            <w:hideMark/>
          </w:tcPr>
          <w:p w:rsidR="0008752E" w:rsidRPr="0008752E" w:rsidRDefault="0008752E" w:rsidP="00087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087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150" w:type="pct"/>
            <w:vAlign w:val="center"/>
            <w:hideMark/>
          </w:tcPr>
          <w:p w:rsidR="0008752E" w:rsidRPr="0008752E" w:rsidRDefault="0008752E" w:rsidP="00087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087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8752E" w:rsidRPr="0008752E" w:rsidRDefault="0008752E" w:rsidP="00087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087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LUÍS ALBERTO D AZEVEDO AURVALLE</w:t>
            </w:r>
          </w:p>
        </w:tc>
      </w:tr>
      <w:tr w:rsidR="0008752E" w:rsidRPr="0008752E" w:rsidTr="0008752E">
        <w:trPr>
          <w:tblCellSpacing w:w="15" w:type="dxa"/>
        </w:trPr>
        <w:tc>
          <w:tcPr>
            <w:tcW w:w="1100" w:type="pct"/>
            <w:vAlign w:val="center"/>
            <w:hideMark/>
          </w:tcPr>
          <w:p w:rsidR="0008752E" w:rsidRPr="0008752E" w:rsidRDefault="0008752E" w:rsidP="00087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087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AGRAVANTE</w:t>
            </w:r>
          </w:p>
        </w:tc>
        <w:tc>
          <w:tcPr>
            <w:tcW w:w="150" w:type="pct"/>
            <w:vAlign w:val="center"/>
            <w:hideMark/>
          </w:tcPr>
          <w:p w:rsidR="0008752E" w:rsidRPr="0008752E" w:rsidRDefault="0008752E" w:rsidP="00087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087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8752E" w:rsidRPr="0008752E" w:rsidRDefault="0008752E" w:rsidP="00087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087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ANTONIO PANI BEIRIZ</w:t>
            </w:r>
          </w:p>
        </w:tc>
      </w:tr>
      <w:tr w:rsidR="0008752E" w:rsidRPr="0008752E" w:rsidTr="0008752E">
        <w:trPr>
          <w:tblCellSpacing w:w="15" w:type="dxa"/>
        </w:trPr>
        <w:tc>
          <w:tcPr>
            <w:tcW w:w="1100" w:type="pct"/>
            <w:vAlign w:val="center"/>
            <w:hideMark/>
          </w:tcPr>
          <w:p w:rsidR="0008752E" w:rsidRPr="0008752E" w:rsidRDefault="0008752E" w:rsidP="00087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087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ADVOGADO</w:t>
            </w:r>
          </w:p>
        </w:tc>
        <w:tc>
          <w:tcPr>
            <w:tcW w:w="150" w:type="pct"/>
            <w:vAlign w:val="center"/>
            <w:hideMark/>
          </w:tcPr>
          <w:p w:rsidR="0008752E" w:rsidRPr="0008752E" w:rsidRDefault="0008752E" w:rsidP="00087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087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8752E" w:rsidRPr="0008752E" w:rsidRDefault="0008752E" w:rsidP="00087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087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ANTONIO PANI BEIRIZ</w:t>
            </w:r>
          </w:p>
        </w:tc>
      </w:tr>
      <w:tr w:rsidR="0008752E" w:rsidRPr="0008752E" w:rsidTr="0008752E">
        <w:trPr>
          <w:tblCellSpacing w:w="15" w:type="dxa"/>
        </w:trPr>
        <w:tc>
          <w:tcPr>
            <w:tcW w:w="1100" w:type="pct"/>
            <w:vAlign w:val="center"/>
            <w:hideMark/>
          </w:tcPr>
          <w:p w:rsidR="0008752E" w:rsidRPr="0008752E" w:rsidRDefault="0008752E" w:rsidP="00087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087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AGRAVADO</w:t>
            </w:r>
          </w:p>
        </w:tc>
        <w:tc>
          <w:tcPr>
            <w:tcW w:w="150" w:type="pct"/>
            <w:vAlign w:val="center"/>
            <w:hideMark/>
          </w:tcPr>
          <w:p w:rsidR="0008752E" w:rsidRPr="0008752E" w:rsidRDefault="0008752E" w:rsidP="00087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087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8752E" w:rsidRPr="0008752E" w:rsidRDefault="0008752E" w:rsidP="00087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087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CAIXA ECONÔMICA FEDERAL - CEF</w:t>
            </w:r>
          </w:p>
        </w:tc>
      </w:tr>
      <w:tr w:rsidR="0008752E" w:rsidRPr="0008752E" w:rsidTr="0008752E">
        <w:trPr>
          <w:tblCellSpacing w:w="15" w:type="dxa"/>
        </w:trPr>
        <w:tc>
          <w:tcPr>
            <w:tcW w:w="1100" w:type="pct"/>
            <w:vAlign w:val="center"/>
            <w:hideMark/>
          </w:tcPr>
          <w:p w:rsidR="0008752E" w:rsidRPr="0008752E" w:rsidRDefault="0008752E" w:rsidP="00087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087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AGRAVADO</w:t>
            </w:r>
          </w:p>
        </w:tc>
        <w:tc>
          <w:tcPr>
            <w:tcW w:w="150" w:type="pct"/>
            <w:vAlign w:val="center"/>
            <w:hideMark/>
          </w:tcPr>
          <w:p w:rsidR="0008752E" w:rsidRPr="0008752E" w:rsidRDefault="0008752E" w:rsidP="00087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087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8752E" w:rsidRPr="0008752E" w:rsidRDefault="0008752E" w:rsidP="00087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087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SPORT CLUB CORINTHIANS PAULISTA</w:t>
            </w:r>
          </w:p>
        </w:tc>
      </w:tr>
      <w:tr w:rsidR="0008752E" w:rsidRPr="0008752E" w:rsidTr="0008752E">
        <w:trPr>
          <w:tblCellSpacing w:w="15" w:type="dxa"/>
        </w:trPr>
        <w:tc>
          <w:tcPr>
            <w:tcW w:w="1100" w:type="pct"/>
            <w:vAlign w:val="center"/>
            <w:hideMark/>
          </w:tcPr>
          <w:p w:rsidR="0008752E" w:rsidRPr="0008752E" w:rsidRDefault="0008752E" w:rsidP="00087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087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ADVOGADO</w:t>
            </w:r>
          </w:p>
        </w:tc>
        <w:tc>
          <w:tcPr>
            <w:tcW w:w="150" w:type="pct"/>
            <w:vAlign w:val="center"/>
            <w:hideMark/>
          </w:tcPr>
          <w:p w:rsidR="0008752E" w:rsidRPr="0008752E" w:rsidRDefault="0008752E" w:rsidP="00087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087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8752E" w:rsidRPr="0008752E" w:rsidRDefault="0008752E" w:rsidP="00087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087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DIOGENES MELLO PIMENTEL NETO</w:t>
            </w:r>
          </w:p>
        </w:tc>
      </w:tr>
      <w:tr w:rsidR="0008752E" w:rsidRPr="0008752E" w:rsidTr="0008752E">
        <w:trPr>
          <w:tblCellSpacing w:w="15" w:type="dxa"/>
        </w:trPr>
        <w:tc>
          <w:tcPr>
            <w:tcW w:w="1100" w:type="pct"/>
            <w:vAlign w:val="center"/>
            <w:hideMark/>
          </w:tcPr>
          <w:p w:rsidR="0008752E" w:rsidRPr="0008752E" w:rsidRDefault="0008752E" w:rsidP="00087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087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AGRAVADO</w:t>
            </w:r>
          </w:p>
        </w:tc>
        <w:tc>
          <w:tcPr>
            <w:tcW w:w="150" w:type="pct"/>
            <w:vAlign w:val="center"/>
            <w:hideMark/>
          </w:tcPr>
          <w:p w:rsidR="0008752E" w:rsidRPr="0008752E" w:rsidRDefault="0008752E" w:rsidP="00087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087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8752E" w:rsidRPr="0008752E" w:rsidRDefault="0008752E" w:rsidP="00087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087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UNIÃO - ADVOCACIA GERAL DA UNIÃO</w:t>
            </w:r>
          </w:p>
        </w:tc>
      </w:tr>
      <w:tr w:rsidR="0008752E" w:rsidRPr="0008752E" w:rsidTr="0008752E">
        <w:trPr>
          <w:tblCellSpacing w:w="15" w:type="dxa"/>
        </w:trPr>
        <w:tc>
          <w:tcPr>
            <w:tcW w:w="1100" w:type="pct"/>
            <w:vAlign w:val="center"/>
            <w:hideMark/>
          </w:tcPr>
          <w:p w:rsidR="0008752E" w:rsidRPr="0008752E" w:rsidRDefault="0008752E" w:rsidP="00087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087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MPF</w:t>
            </w:r>
          </w:p>
        </w:tc>
        <w:tc>
          <w:tcPr>
            <w:tcW w:w="150" w:type="pct"/>
            <w:vAlign w:val="center"/>
            <w:hideMark/>
          </w:tcPr>
          <w:p w:rsidR="0008752E" w:rsidRPr="0008752E" w:rsidRDefault="0008752E" w:rsidP="00087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087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8752E" w:rsidRPr="0008752E" w:rsidRDefault="0008752E" w:rsidP="00087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087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MINISTÉRIO PÚBLICO FEDERAL</w:t>
            </w:r>
          </w:p>
        </w:tc>
      </w:tr>
    </w:tbl>
    <w:p w:rsidR="0008752E" w:rsidRPr="0008752E" w:rsidRDefault="0008752E" w:rsidP="0008752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</w:pP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</w:p>
    <w:p w:rsidR="0008752E" w:rsidRPr="0008752E" w:rsidRDefault="0008752E" w:rsidP="000875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pt-BR"/>
        </w:rPr>
      </w:pPr>
      <w:r w:rsidRPr="0008752E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pt-BR"/>
        </w:rPr>
        <w:t>RELATÓRIO</w:t>
      </w:r>
    </w:p>
    <w:p w:rsidR="0008752E" w:rsidRPr="0008752E" w:rsidRDefault="0008752E" w:rsidP="0008752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</w:pP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</w:p>
    <w:p w:rsidR="0008752E" w:rsidRPr="0008752E" w:rsidRDefault="0008752E" w:rsidP="0008752E">
      <w:pPr>
        <w:spacing w:after="0" w:line="240" w:lineRule="auto"/>
        <w:ind w:firstLine="141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08752E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Trata-se de agravo de instrumento interposto por </w:t>
      </w:r>
      <w:proofErr w:type="spellStart"/>
      <w:r w:rsidRPr="0008752E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Antonio</w:t>
      </w:r>
      <w:proofErr w:type="spellEnd"/>
      <w:r w:rsidRPr="0008752E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</w:t>
      </w:r>
      <w:proofErr w:type="spellStart"/>
      <w:r w:rsidRPr="0008752E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Pani</w:t>
      </w:r>
      <w:proofErr w:type="spellEnd"/>
      <w:r w:rsidRPr="0008752E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Beiriz contra decisão proferida em Ação Popular, indeferindo liminar, nos seguintes termos:</w:t>
      </w:r>
    </w:p>
    <w:p w:rsidR="0008752E" w:rsidRPr="0008752E" w:rsidRDefault="0008752E" w:rsidP="00087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8752E" w:rsidRPr="0008752E" w:rsidRDefault="0008752E" w:rsidP="0008752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pt-BR"/>
        </w:rPr>
      </w:pPr>
      <w:r w:rsidRPr="0008752E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>Trata-se de análise de pedido liminar em ação popular. Pretende o autor a suspensão liminar dos pagamentos de quaisquer valores relativos ao financiamento da construção do Estádio Itaquera Arena do Sport Club Corinthians Paulista.</w:t>
      </w:r>
    </w:p>
    <w:p w:rsidR="0008752E" w:rsidRPr="0008752E" w:rsidRDefault="0008752E" w:rsidP="00087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8752E" w:rsidRPr="0008752E" w:rsidRDefault="0008752E" w:rsidP="0008752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pt-BR"/>
        </w:rPr>
      </w:pPr>
      <w:r w:rsidRPr="0008752E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 xml:space="preserve">Não obstante as alegações da parte autora, não há verossimilhança suficiente para a suspensão liminar do ato impugnado, nos termos do art. 5º, §4º, da Lei nº 4.717/65, sendo necessária e indispensável </w:t>
      </w:r>
      <w:proofErr w:type="gramStart"/>
      <w:r w:rsidRPr="0008752E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>a</w:t>
      </w:r>
      <w:proofErr w:type="gramEnd"/>
      <w:r w:rsidRPr="0008752E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 xml:space="preserve"> instrução probatória da presente demanda para a análise de qualquer irregularidade.</w:t>
      </w:r>
    </w:p>
    <w:p w:rsidR="0008752E" w:rsidRPr="0008752E" w:rsidRDefault="0008752E" w:rsidP="00087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8752E" w:rsidRPr="0008752E" w:rsidRDefault="0008752E" w:rsidP="0008752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pt-BR"/>
        </w:rPr>
      </w:pPr>
      <w:r w:rsidRPr="0008752E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 xml:space="preserve">De outra parte, </w:t>
      </w:r>
      <w:proofErr w:type="gramStart"/>
      <w:r w:rsidRPr="0008752E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>verifico,</w:t>
      </w:r>
      <w:proofErr w:type="gramEnd"/>
      <w:r w:rsidRPr="0008752E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 xml:space="preserve"> de plano, a ilegitimidade passiva da </w:t>
      </w:r>
      <w:proofErr w:type="spellStart"/>
      <w:r w:rsidRPr="0008752E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>Fédération</w:t>
      </w:r>
      <w:proofErr w:type="spellEnd"/>
      <w:r w:rsidRPr="0008752E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 xml:space="preserve"> </w:t>
      </w:r>
      <w:proofErr w:type="spellStart"/>
      <w:r w:rsidRPr="0008752E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>Internacionale</w:t>
      </w:r>
      <w:proofErr w:type="spellEnd"/>
      <w:r w:rsidRPr="0008752E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 xml:space="preserve"> de Football </w:t>
      </w:r>
      <w:proofErr w:type="spellStart"/>
      <w:r w:rsidRPr="0008752E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>Association</w:t>
      </w:r>
      <w:proofErr w:type="spellEnd"/>
      <w:r w:rsidRPr="0008752E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 xml:space="preserve"> - FIFA e do Presidente da Caixa Econômica Federal. A primeira por não possuir qualquer relação direta com os fatos narrados na inicial e o segundo por não ter-lhe sido imputado, pessoalmente, qualquer ato descrito na peça vestibular.</w:t>
      </w:r>
    </w:p>
    <w:p w:rsidR="0008752E" w:rsidRPr="0008752E" w:rsidRDefault="0008752E" w:rsidP="00087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8752E" w:rsidRPr="0008752E" w:rsidRDefault="0008752E" w:rsidP="0008752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pt-BR"/>
        </w:rPr>
      </w:pPr>
      <w:r w:rsidRPr="0008752E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>Citem-se os demais réus.</w:t>
      </w:r>
    </w:p>
    <w:p w:rsidR="0008752E" w:rsidRPr="0008752E" w:rsidRDefault="0008752E" w:rsidP="00087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8752E" w:rsidRPr="0008752E" w:rsidRDefault="0008752E" w:rsidP="0008752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pt-BR"/>
        </w:rPr>
      </w:pPr>
      <w:r w:rsidRPr="0008752E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>Transcorrido o prazo para contestação, dê-se vista ao Ministério Público Federal.</w:t>
      </w:r>
    </w:p>
    <w:p w:rsidR="0008752E" w:rsidRPr="0008752E" w:rsidRDefault="0008752E" w:rsidP="00087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8752E" w:rsidRPr="0008752E" w:rsidRDefault="0008752E" w:rsidP="0008752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pt-BR"/>
        </w:rPr>
      </w:pPr>
      <w:r w:rsidRPr="0008752E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>Após, façam-me os autos conclusos, oportunidade em que será analisada a necessidade de requisição da documentação solicitada.</w:t>
      </w:r>
    </w:p>
    <w:p w:rsidR="0008752E" w:rsidRPr="0008752E" w:rsidRDefault="0008752E" w:rsidP="00087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8752E" w:rsidRPr="0008752E" w:rsidRDefault="0008752E" w:rsidP="0008752E">
      <w:pPr>
        <w:spacing w:after="0" w:line="240" w:lineRule="auto"/>
        <w:ind w:firstLine="141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08752E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Pede o autor seja:</w:t>
      </w:r>
    </w:p>
    <w:p w:rsidR="0008752E" w:rsidRPr="0008752E" w:rsidRDefault="0008752E" w:rsidP="00087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8752E" w:rsidRPr="0008752E" w:rsidRDefault="0008752E" w:rsidP="0008752E">
      <w:pPr>
        <w:spacing w:after="0" w:line="240" w:lineRule="auto"/>
        <w:ind w:firstLine="141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08752E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a) determinada a requisição de documentos e informações como postulados na petição inicial, antes mesmo da apresentação das contestações;</w:t>
      </w:r>
    </w:p>
    <w:p w:rsidR="0008752E" w:rsidRPr="0008752E" w:rsidRDefault="0008752E" w:rsidP="00087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8752E" w:rsidRPr="0008752E" w:rsidRDefault="0008752E" w:rsidP="0008752E">
      <w:pPr>
        <w:spacing w:after="0" w:line="240" w:lineRule="auto"/>
        <w:ind w:firstLine="141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08752E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b) determinada a inclusão no polo passivo da ação de Jorge Fontes </w:t>
      </w:r>
      <w:proofErr w:type="spellStart"/>
      <w:r w:rsidRPr="0008752E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Hereda</w:t>
      </w:r>
      <w:proofErr w:type="spellEnd"/>
      <w:r w:rsidRPr="0008752E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e de </w:t>
      </w:r>
      <w:proofErr w:type="spellStart"/>
      <w:r w:rsidRPr="0008752E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Federation</w:t>
      </w:r>
      <w:proofErr w:type="spellEnd"/>
      <w:r w:rsidRPr="0008752E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</w:t>
      </w:r>
      <w:proofErr w:type="spellStart"/>
      <w:r w:rsidRPr="0008752E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Internationale</w:t>
      </w:r>
      <w:proofErr w:type="spellEnd"/>
      <w:r w:rsidRPr="0008752E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de Football </w:t>
      </w:r>
      <w:proofErr w:type="spellStart"/>
      <w:r w:rsidRPr="0008752E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Association</w:t>
      </w:r>
      <w:proofErr w:type="spellEnd"/>
      <w:r w:rsidRPr="0008752E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- FIFA, como litisconsortes passivos necessários;</w:t>
      </w:r>
    </w:p>
    <w:p w:rsidR="0008752E" w:rsidRPr="0008752E" w:rsidRDefault="0008752E" w:rsidP="00087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8752E" w:rsidRPr="0008752E" w:rsidRDefault="0008752E" w:rsidP="0008752E">
      <w:pPr>
        <w:spacing w:after="0" w:line="240" w:lineRule="auto"/>
        <w:ind w:firstLine="141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08752E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c) o deferimento de liminar para sustar qualquer pagamento em razão da contratação do financiamento realizado entre o Clube agravado e a CEF, para fins de construção do Estádio Itaquera do Sport Club Corinthians Paulista.</w:t>
      </w:r>
    </w:p>
    <w:p w:rsidR="0008752E" w:rsidRPr="0008752E" w:rsidRDefault="0008752E" w:rsidP="00087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8752E" w:rsidRPr="0008752E" w:rsidRDefault="0008752E" w:rsidP="0008752E">
      <w:pPr>
        <w:spacing w:after="0" w:line="240" w:lineRule="auto"/>
        <w:ind w:firstLine="141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08752E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Entende necessária a juntada de documentos, antes mesmo da contestação, o que servirá inclusive para alteração da inicial. Inexiste porque postergar a requisição, uma vez que deve ser respeitado o princípio da publicidade dos atos da administração.</w:t>
      </w:r>
    </w:p>
    <w:p w:rsidR="0008752E" w:rsidRPr="0008752E" w:rsidRDefault="0008752E" w:rsidP="00087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8752E" w:rsidRPr="0008752E" w:rsidRDefault="0008752E" w:rsidP="0008752E">
      <w:pPr>
        <w:spacing w:after="0" w:line="240" w:lineRule="auto"/>
        <w:ind w:firstLine="141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08752E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No que concerne à manutenção do Presidente da CEF e da FIFA no polo passivo da presente ação popular refere: ser Jorge Fontes </w:t>
      </w:r>
      <w:proofErr w:type="spellStart"/>
      <w:r w:rsidRPr="0008752E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Hereda</w:t>
      </w:r>
      <w:proofErr w:type="spellEnd"/>
      <w:r w:rsidRPr="0008752E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o responsável direto pela aprovação do ato inquinado como ilegal e que, em virtude de terem sido sonegados administrativamente os documentos objeto da requisição ora pretendida, a inicial não contempla minúcias sobre sua conduta; ser a FIFA beneficiária direta da contratação do financiamento da construção do estádio, uma vez que a obra deve seguir modelo e projeto por ela aprovado.</w:t>
      </w:r>
    </w:p>
    <w:p w:rsidR="0008752E" w:rsidRPr="0008752E" w:rsidRDefault="0008752E" w:rsidP="00087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8752E" w:rsidRPr="0008752E" w:rsidRDefault="0008752E" w:rsidP="0008752E">
      <w:pPr>
        <w:spacing w:after="0" w:line="240" w:lineRule="auto"/>
        <w:ind w:firstLine="141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08752E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Para fins de concessão do pedido de sustação do pagamento referente à contratação impugnada aduz o agravante, em síntese, que o Corinthians é absolutamente insolvente; que o único imóvel (Parque São Jorge) está penhorado como garantia de dívida fiscal (medida cautelar nº 00216690621240610); que para continuar contratando utiliza o manejo de certidão positiva com efeito negativo; que o Conselho Deliberativo do Clube não aprovou o comprometimento com os custos do empreendimento; que a Construtora Odebrecht S.A. iniciou a construção do estádio por conta própria, mas não comprometeu seus ativos para garantir o financiamento; que a Direção do Clube não aceitou abrir mão da gestão financeira que caberia à </w:t>
      </w:r>
      <w:proofErr w:type="gramStart"/>
      <w:r w:rsidRPr="0008752E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Sociedade de Propósito Específico</w:t>
      </w:r>
      <w:proofErr w:type="gramEnd"/>
      <w:r w:rsidRPr="0008752E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Arena Itaquera S.A. (pessoa jurídica criada especificamente para contratar o financiamento), sendo que em razão de impasses na contratação do financiamento, houve a substituição do Banco do Brasil pela CEF e essa instituição passou a ser a fiadora do empréstimo de R$ 400.000,00 (quatrocentos milhões de reais) perante o BNDES; que a CEF assumiu a contratação sem as garantias exigidas pelo Banco Central do Brasil - BACEN; que diante dessa constatação - financiamento de valores sem a exigência devida de garantia -, a CEF ignora as regras impostas pelo BACEN, avençando contrato nulo, ilegal e lesivo ao patrimônio público. </w:t>
      </w:r>
      <w:proofErr w:type="gramStart"/>
      <w:r w:rsidRPr="0008752E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Entende,</w:t>
      </w:r>
      <w:proofErr w:type="gramEnd"/>
      <w:r w:rsidRPr="0008752E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o agravante, violados os princípios da legalidade e moralidade administrativa.</w:t>
      </w:r>
    </w:p>
    <w:p w:rsidR="0008752E" w:rsidRPr="0008752E" w:rsidRDefault="0008752E" w:rsidP="00087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8752E" w:rsidRPr="0008752E" w:rsidRDefault="0008752E" w:rsidP="0008752E">
      <w:pPr>
        <w:spacing w:after="0" w:line="240" w:lineRule="auto"/>
        <w:ind w:firstLine="141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08752E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Recebido o recurso foi proferida decisão deferindo parcialmente o efeito suspensivo para manter o Presidente da Caixa Econômica Federal, Sr. Jorge Fontes </w:t>
      </w:r>
      <w:proofErr w:type="spellStart"/>
      <w:r w:rsidRPr="0008752E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Hereda</w:t>
      </w:r>
      <w:proofErr w:type="spellEnd"/>
      <w:r w:rsidRPr="0008752E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, no polo passivo da ação.</w:t>
      </w:r>
    </w:p>
    <w:p w:rsidR="0008752E" w:rsidRPr="0008752E" w:rsidRDefault="0008752E" w:rsidP="00087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8752E" w:rsidRPr="0008752E" w:rsidRDefault="0008752E" w:rsidP="0008752E">
      <w:pPr>
        <w:spacing w:after="0" w:line="240" w:lineRule="auto"/>
        <w:ind w:firstLine="141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08752E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A parte agravante interpôs agravo da decisão proferida.</w:t>
      </w:r>
    </w:p>
    <w:p w:rsidR="0008752E" w:rsidRPr="0008752E" w:rsidRDefault="0008752E" w:rsidP="00087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8752E" w:rsidRPr="0008752E" w:rsidRDefault="0008752E" w:rsidP="0008752E">
      <w:pPr>
        <w:spacing w:after="0" w:line="240" w:lineRule="auto"/>
        <w:ind w:firstLine="141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08752E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Com contrarrazões, foram os autos disponibilizados para julgamento.</w:t>
      </w:r>
    </w:p>
    <w:p w:rsidR="0008752E" w:rsidRPr="0008752E" w:rsidRDefault="0008752E" w:rsidP="00087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8752E" w:rsidRPr="0008752E" w:rsidRDefault="0008752E" w:rsidP="0008752E">
      <w:pPr>
        <w:spacing w:after="0" w:line="240" w:lineRule="auto"/>
        <w:ind w:firstLine="141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08752E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O Ministério Público Federal manifestou-se pelo parcial provimento do agravo para fins de </w:t>
      </w:r>
      <w:r w:rsidRPr="0008752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pt-BR"/>
        </w:rPr>
        <w:t>ser determinada imediatamente a requisição da documentação solicitada pelo autor popular com fulcro no art. 7º, inciso I, alínea 'b', da Lei nº 4.717/65, na Lei nº 12.527/2011 (Lei de Acesso a Informações de Órgãos Públicos) e no art. 37,</w:t>
      </w:r>
      <w:r w:rsidRPr="0008752E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caput</w:t>
      </w:r>
      <w:r w:rsidRPr="0008752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pt-BR"/>
        </w:rPr>
        <w:t xml:space="preserve">, da Constituição Federal, bem como para manter na lide Jorge Fontes </w:t>
      </w:r>
      <w:proofErr w:type="spellStart"/>
      <w:r w:rsidRPr="0008752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pt-BR"/>
        </w:rPr>
        <w:t>Hereda</w:t>
      </w:r>
      <w:proofErr w:type="spellEnd"/>
      <w:r w:rsidRPr="0008752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pt-BR"/>
        </w:rPr>
        <w:t>.</w:t>
      </w:r>
    </w:p>
    <w:p w:rsidR="0008752E" w:rsidRPr="0008752E" w:rsidRDefault="0008752E" w:rsidP="00087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8752E" w:rsidRPr="0008752E" w:rsidRDefault="0008752E" w:rsidP="0008752E">
      <w:pPr>
        <w:spacing w:after="0" w:line="240" w:lineRule="auto"/>
        <w:ind w:firstLine="141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08752E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É o relatório.</w:t>
      </w:r>
    </w:p>
    <w:p w:rsidR="0008752E" w:rsidRPr="0008752E" w:rsidRDefault="0008752E" w:rsidP="0008752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</w:pP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</w:p>
    <w:p w:rsidR="0008752E" w:rsidRPr="0008752E" w:rsidRDefault="0008752E" w:rsidP="000875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pt-BR"/>
        </w:rPr>
      </w:pPr>
      <w:r w:rsidRPr="0008752E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pt-BR"/>
        </w:rPr>
        <w:t>VOTO</w:t>
      </w:r>
    </w:p>
    <w:p w:rsidR="0008752E" w:rsidRPr="0008752E" w:rsidRDefault="0008752E" w:rsidP="0008752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</w:pP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</w:p>
    <w:p w:rsidR="0008752E" w:rsidRPr="0008752E" w:rsidRDefault="0008752E" w:rsidP="0008752E">
      <w:pPr>
        <w:spacing w:after="0" w:line="240" w:lineRule="auto"/>
        <w:ind w:firstLine="141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08752E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Ao analisar o pedido de efeito suspensivo proferi a seguinte decisão:</w:t>
      </w:r>
    </w:p>
    <w:p w:rsidR="0008752E" w:rsidRPr="0008752E" w:rsidRDefault="0008752E" w:rsidP="00087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8752E" w:rsidRPr="0008752E" w:rsidRDefault="0008752E" w:rsidP="0008752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</w:pPr>
      <w:r w:rsidRPr="0008752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>Inicialmente, refiro precedente julgamento perante a douta Quarta Turma, de agravos de instrumentos interpostos pelo SPORT CLUB CORINTHIANS PAULISTA e CEF, respectivamente, AI nº 5005442-53.2013.404.0000/RS e AI nº 5004553-02.2013.404.0000, nos quais, o Colegiado, pela maioria, vencido o Relator Des. Federal Cândido Alfredo Silva Leal Junior, reformou decisão proferida em Ação Popular nº 5065814-42.2012.4047100/RS e indeferiu a tutela antecipada, deferida que fora para sustar o pagamento de patrocínio ao clube agravante pela patrocinadora CEF. De aí, ao contrário do lançado nas razões recursais, a liminar não foi confirmada por esta Corte.</w:t>
      </w:r>
    </w:p>
    <w:p w:rsidR="0008752E" w:rsidRPr="0008752E" w:rsidRDefault="0008752E" w:rsidP="00087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8752E" w:rsidRPr="0008752E" w:rsidRDefault="0008752E" w:rsidP="0008752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</w:pPr>
      <w:r w:rsidRPr="0008752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>Seguindo, anoto que o Julgador de origem postergou a ordem de requisição de documentos para momento após a contestação. A requisição de documentos para análise do pedido lançada na ação constitucional pode ser realizada durante toda a fase processual, inclusive, de ofício pelo Julgador. É com base nesse entendimento e em atenção ao princípio da publicidade dos atos administrativos que se mantém o norte jurisprudencial no sentido de que não se indefere a inicial da ação popular por falta de documentos indispensáveis à propositura da ação (</w:t>
      </w:r>
      <w:proofErr w:type="spellStart"/>
      <w:proofErr w:type="gramStart"/>
      <w:r w:rsidRPr="0008752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>EDcl</w:t>
      </w:r>
      <w:proofErr w:type="spellEnd"/>
      <w:proofErr w:type="gramEnd"/>
      <w:r w:rsidRPr="0008752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 xml:space="preserve"> no </w:t>
      </w:r>
      <w:proofErr w:type="spellStart"/>
      <w:r w:rsidRPr="0008752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>REsp</w:t>
      </w:r>
      <w:proofErr w:type="spellEnd"/>
      <w:r w:rsidRPr="0008752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 xml:space="preserve"> 439.180/SP, Rel. Ministro FRANCISCO FALCÃO, PRIMEIRA TURMA, julgado em 15/02/2005, DJ 14/03/2005, p. 197).</w:t>
      </w:r>
    </w:p>
    <w:p w:rsidR="0008752E" w:rsidRPr="0008752E" w:rsidRDefault="0008752E" w:rsidP="00087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8752E" w:rsidRPr="0008752E" w:rsidRDefault="0008752E" w:rsidP="0008752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</w:pPr>
      <w:r w:rsidRPr="0008752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 xml:space="preserve">O art. 7º, inciso I, alínea 'b', da Lei nº 4.717/65 estabelece que o Juiz </w:t>
      </w:r>
      <w:proofErr w:type="gramStart"/>
      <w:r w:rsidRPr="0008752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>tem</w:t>
      </w:r>
      <w:proofErr w:type="gramEnd"/>
      <w:r w:rsidRPr="0008752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 xml:space="preserve"> a faculdade de requisitar documentos, quando recebe a inicial, tanto os postulados pelo autor da ação, como aqueles que entender cabíveis de requisição em razão do pleito apresentado. De aí, considerando que o Juízo de origem, na decisão agravada, não ditou óbice à requisição, apenas postergando-a para o momento posterior à contestação, assim mantenho. </w:t>
      </w:r>
      <w:proofErr w:type="gramStart"/>
      <w:r w:rsidRPr="0008752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>A critério</w:t>
      </w:r>
      <w:proofErr w:type="gramEnd"/>
      <w:r w:rsidRPr="0008752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 xml:space="preserve"> do Julgador serão requisitados os documentos que entender </w:t>
      </w:r>
      <w:r w:rsidRPr="0008752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lastRenderedPageBreak/>
        <w:t>indispensáveis à instrução, momento no qual, instado a fazê-lo, poderá, inclusive, conferir tratamento diverso ao trato liminar, se entender modificada a conformação ora estabelecida.</w:t>
      </w:r>
    </w:p>
    <w:p w:rsidR="0008752E" w:rsidRPr="0008752E" w:rsidRDefault="0008752E" w:rsidP="00087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8752E" w:rsidRPr="0008752E" w:rsidRDefault="0008752E" w:rsidP="0008752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</w:pPr>
      <w:r w:rsidRPr="0008752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 xml:space="preserve">Consabido que a ação popular pode envolver litisconsórcio passivo necessário, chamada como ré a CEF (identificada como sendo a entidade que praticou o ato envolvendo os bens e recursos públicos), </w:t>
      </w:r>
      <w:proofErr w:type="gramStart"/>
      <w:r w:rsidRPr="0008752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>mister</w:t>
      </w:r>
      <w:proofErr w:type="gramEnd"/>
      <w:r w:rsidRPr="0008752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 xml:space="preserve"> incluir no </w:t>
      </w:r>
      <w:proofErr w:type="spellStart"/>
      <w:r w:rsidRPr="0008752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>pólo</w:t>
      </w:r>
      <w:proofErr w:type="spellEnd"/>
      <w:r w:rsidRPr="0008752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 xml:space="preserve"> passivo também a pessoa física que em nome da entidade atuou na contratação referida na inicial (Lei nº 4.717/65, artigo 6º, caput). De aí, a pretensão de manutenção da figura do Presidente da CEF, Sr. Jorge Fontes </w:t>
      </w:r>
      <w:proofErr w:type="spellStart"/>
      <w:r w:rsidRPr="0008752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>Hereda</w:t>
      </w:r>
      <w:proofErr w:type="spellEnd"/>
      <w:r w:rsidRPr="0008752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>, no polo passivo da ação merece guarida, na medida em que, na indigitada qualidade de Presidente da CEF responde pelos atos praticados pela empresa pública. Sua exclusão nesse momento processual mostra-se prematura, máxime quando se está a requisitar documentação necessária para averiguar o ato inquinado como lesivo e identificar, portanto, envolvidos no objeto da ação.</w:t>
      </w:r>
    </w:p>
    <w:p w:rsidR="0008752E" w:rsidRPr="0008752E" w:rsidRDefault="0008752E" w:rsidP="00087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8752E" w:rsidRPr="0008752E" w:rsidRDefault="0008752E" w:rsidP="0008752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</w:pPr>
      <w:r w:rsidRPr="0008752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 xml:space="preserve">De outra banda, em relação à FIFA, mantenho a exclusão procedida pelo Juízo de origem. O fato de ser a FIFA o órgão gestor do futebol no âmbito internacional e estar aí identificada </w:t>
      </w:r>
      <w:proofErr w:type="gramStart"/>
      <w:r w:rsidRPr="0008752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>a</w:t>
      </w:r>
      <w:proofErr w:type="gramEnd"/>
      <w:r w:rsidRPr="0008752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 xml:space="preserve"> relação jurídica existente entre a mesma Federação e o país sede da Copa do Mundo, não faz por lhe imputar a condição de ré em ação popular que questiona ato lesivo ao patrimônio público nacional brasileiro. Ainda que aprovadora dos projetos estruturais dos estádios que receberão os jogos e participante das deliberações que envolvam a organização do evento como um todo, a conclusão não se transmuda.</w:t>
      </w:r>
    </w:p>
    <w:p w:rsidR="0008752E" w:rsidRPr="0008752E" w:rsidRDefault="0008752E" w:rsidP="00087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8752E" w:rsidRPr="0008752E" w:rsidRDefault="0008752E" w:rsidP="0008752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</w:pPr>
      <w:r w:rsidRPr="0008752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>Por fim, sobre o pedido de suspensão do repasse de valores oriundos do contrato inquinado de lesivo ao patrimônio público, tenho por manter a decisão recorrida. Não se vislumbra a verossimilhança a sustar os repasses da verba obtida pelo financiamento tido por ilegal. A conclusão não afasta posterior deliberação em sentido contrário, tanto em sede do presente recurso como também pelo juízo monocrático, certo que a ação constitucional está no início do iter processual.</w:t>
      </w:r>
    </w:p>
    <w:p w:rsidR="0008752E" w:rsidRPr="0008752E" w:rsidRDefault="0008752E" w:rsidP="00087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8752E" w:rsidRPr="0008752E" w:rsidRDefault="0008752E" w:rsidP="0008752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</w:pPr>
      <w:r w:rsidRPr="0008752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 xml:space="preserve">Ante o exposto, defiro parcialmente o efeito suspensivo, fazendo-o apenas pela manutenção do Presidente da Caixa Econômica Federal, Sr. Jorge Fontes </w:t>
      </w:r>
      <w:proofErr w:type="spellStart"/>
      <w:r w:rsidRPr="0008752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>Hereda</w:t>
      </w:r>
      <w:proofErr w:type="spellEnd"/>
      <w:r w:rsidRPr="0008752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>, no polo passivo da ação.</w:t>
      </w:r>
    </w:p>
    <w:p w:rsidR="0008752E" w:rsidRPr="0008752E" w:rsidRDefault="0008752E" w:rsidP="00087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8752E" w:rsidRPr="0008752E" w:rsidRDefault="0008752E" w:rsidP="0008752E">
      <w:pPr>
        <w:spacing w:after="0" w:line="240" w:lineRule="auto"/>
        <w:ind w:firstLine="141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08752E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Não vejo razões para modificar o entendimento acima adotado.</w:t>
      </w:r>
    </w:p>
    <w:p w:rsidR="0008752E" w:rsidRPr="0008752E" w:rsidRDefault="0008752E" w:rsidP="00087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8752E" w:rsidRPr="0008752E" w:rsidRDefault="0008752E" w:rsidP="0008752E">
      <w:pPr>
        <w:spacing w:after="0" w:line="240" w:lineRule="auto"/>
        <w:ind w:firstLine="141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08752E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Em relação ao agravo interposto pelo agravante, deixo de conhecê-lo, uma vez incabível, nos termos do artigo 527, parágrafo único, do CPC.</w:t>
      </w:r>
    </w:p>
    <w:p w:rsidR="0008752E" w:rsidRPr="0008752E" w:rsidRDefault="0008752E" w:rsidP="00087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8752E" w:rsidRPr="0008752E" w:rsidRDefault="0008752E" w:rsidP="0008752E">
      <w:pPr>
        <w:spacing w:after="0" w:line="240" w:lineRule="auto"/>
        <w:ind w:firstLine="141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08752E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Ante o exposto, voto por </w:t>
      </w:r>
      <w:r w:rsidRPr="0008752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pt-BR"/>
        </w:rPr>
        <w:t>dar parcial provimento ao agravo de instrumento.</w:t>
      </w:r>
    </w:p>
    <w:p w:rsidR="0008752E" w:rsidRPr="0008752E" w:rsidRDefault="0008752E" w:rsidP="0008752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</w:pP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lastRenderedPageBreak/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  <w:r w:rsidRPr="0008752E">
        <w:rPr>
          <w:rFonts w:ascii="Times New Roman" w:eastAsia="Times New Roman" w:hAnsi="Times New Roman" w:cs="Times New Roman"/>
          <w:color w:val="000000"/>
          <w:sz w:val="2"/>
          <w:szCs w:val="2"/>
          <w:lang w:eastAsia="pt-BR"/>
        </w:rPr>
        <w:br/>
      </w:r>
    </w:p>
    <w:p w:rsidR="0008752E" w:rsidRPr="0008752E" w:rsidRDefault="0008752E" w:rsidP="000875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</w:pPr>
      <w:r w:rsidRPr="000875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Desembargador Federal Luís Alberto D'Azevedo </w:t>
      </w:r>
      <w:proofErr w:type="spellStart"/>
      <w:r w:rsidRPr="000875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Aurvalle</w:t>
      </w:r>
      <w:proofErr w:type="spellEnd"/>
    </w:p>
    <w:p w:rsidR="0008752E" w:rsidRPr="0008752E" w:rsidRDefault="0008752E" w:rsidP="000875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</w:pPr>
      <w:r w:rsidRPr="000875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Relator</w:t>
      </w:r>
    </w:p>
    <w:p w:rsidR="00EA3AA6" w:rsidRDefault="00EA3AA6">
      <w:bookmarkStart w:id="0" w:name="_GoBack"/>
      <w:bookmarkEnd w:id="0"/>
    </w:p>
    <w:sectPr w:rsidR="00EA3A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52E"/>
    <w:rsid w:val="0008752E"/>
    <w:rsid w:val="00EA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0875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087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1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2513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77999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564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2603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3959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190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8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7768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827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66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365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344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489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992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5073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6317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3348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1790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1524</Words>
  <Characters>8232</Characters>
  <Application>Microsoft Office Word</Application>
  <DocSecurity>0</DocSecurity>
  <Lines>68</Lines>
  <Paragraphs>19</Paragraphs>
  <ScaleCrop>false</ScaleCrop>
  <Company/>
  <LinksUpToDate>false</LinksUpToDate>
  <CharactersWithSpaces>9737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migalhas</dc:creator>
  <cp:lastModifiedBy>migalhas</cp:lastModifiedBy>
  <cp:revision>1</cp:revision>
  <dcterms:created xsi:type="dcterms:W3CDTF">2013-08-19T14:38:00Z</dcterms:created>
  <dcterms:modified xsi:type="dcterms:W3CDTF">2013-08-19T14:38:00Z</dcterms:modified>
</cp:coreProperties>
</file>