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4D" w:rsidRDefault="00D13B4D" w:rsidP="009B7DDF">
      <w:pPr>
        <w:spacing w:before="120" w:after="120" w:line="324" w:lineRule="auto"/>
        <w:jc w:val="center"/>
        <w:rPr>
          <w:rFonts w:ascii="Palatino Linotype" w:hAnsi="Palatino Linotype"/>
          <w:smallCaps/>
          <w:spacing w:val="20"/>
        </w:rPr>
      </w:pPr>
    </w:p>
    <w:p w:rsidR="009B7DDF" w:rsidRPr="009B7DDF" w:rsidRDefault="00783D39" w:rsidP="009B7DDF">
      <w:pPr>
        <w:spacing w:before="120" w:after="120" w:line="324" w:lineRule="auto"/>
        <w:jc w:val="center"/>
        <w:rPr>
          <w:rFonts w:ascii="Palatino Linotype" w:hAnsi="Palatino Linotype"/>
          <w:smallCaps/>
          <w:spacing w:val="20"/>
        </w:rPr>
      </w:pPr>
      <w:r>
        <w:rPr>
          <w:rFonts w:ascii="Palatino Linotype" w:hAnsi="Palatino Linotype"/>
          <w:smallCaps/>
          <w:spacing w:val="20"/>
        </w:rPr>
        <w:t xml:space="preserve">STF e os Planos econômicos. </w:t>
      </w:r>
      <w:bookmarkStart w:id="0" w:name="_GoBack"/>
      <w:r>
        <w:rPr>
          <w:rFonts w:ascii="Palatino Linotype" w:hAnsi="Palatino Linotype"/>
          <w:smallCaps/>
          <w:spacing w:val="20"/>
        </w:rPr>
        <w:t>Os números verdadeiros</w:t>
      </w:r>
    </w:p>
    <w:bookmarkEnd w:id="0"/>
    <w:p w:rsidR="009B7DDF" w:rsidRDefault="009B7DDF" w:rsidP="009B7DDF">
      <w:pPr>
        <w:spacing w:before="120" w:after="120" w:line="324" w:lineRule="auto"/>
        <w:ind w:firstLine="708"/>
        <w:jc w:val="both"/>
        <w:rPr>
          <w:rFonts w:ascii="Palatino Linotype" w:hAnsi="Palatino Linotype"/>
          <w:spacing w:val="20"/>
        </w:rPr>
      </w:pPr>
    </w:p>
    <w:p w:rsidR="00783D39" w:rsidRDefault="00783D39" w:rsidP="009B7DDF">
      <w:pPr>
        <w:spacing w:before="120" w:after="120" w:line="324" w:lineRule="auto"/>
        <w:ind w:firstLine="1418"/>
        <w:jc w:val="both"/>
        <w:rPr>
          <w:rFonts w:ascii="Palatino Linotype" w:hAnsi="Palatino Linotype"/>
          <w:spacing w:val="20"/>
        </w:rPr>
      </w:pPr>
      <w:r>
        <w:rPr>
          <w:rFonts w:ascii="Palatino Linotype" w:hAnsi="Palatino Linotype"/>
          <w:spacing w:val="20"/>
        </w:rPr>
        <w:t xml:space="preserve">Reportagens recentemente veiculadas, com os Bancos como fonte única, indicam que o julgamento pelo Supremo dos planos econômicos, </w:t>
      </w:r>
      <w:r w:rsidR="00351668">
        <w:rPr>
          <w:rFonts w:ascii="Palatino Linotype" w:hAnsi="Palatino Linotype"/>
          <w:spacing w:val="20"/>
        </w:rPr>
        <w:t xml:space="preserve">no </w:t>
      </w:r>
      <w:r>
        <w:rPr>
          <w:rFonts w:ascii="Palatino Linotype" w:hAnsi="Palatino Linotype"/>
          <w:spacing w:val="20"/>
        </w:rPr>
        <w:t xml:space="preserve">próximo dia </w:t>
      </w:r>
      <w:r w:rsidR="00754279">
        <w:rPr>
          <w:rFonts w:ascii="Palatino Linotype" w:hAnsi="Palatino Linotype"/>
          <w:spacing w:val="20"/>
        </w:rPr>
        <w:t>27</w:t>
      </w:r>
      <w:r w:rsidR="00D54EEA">
        <w:rPr>
          <w:rFonts w:ascii="Palatino Linotype" w:hAnsi="Palatino Linotype"/>
          <w:spacing w:val="20"/>
        </w:rPr>
        <w:t xml:space="preserve"> de </w:t>
      </w:r>
      <w:r>
        <w:rPr>
          <w:rFonts w:ascii="Palatino Linotype" w:hAnsi="Palatino Linotype"/>
          <w:spacing w:val="20"/>
        </w:rPr>
        <w:t>novembro</w:t>
      </w:r>
      <w:r w:rsidR="00D54EEA">
        <w:rPr>
          <w:rFonts w:ascii="Palatino Linotype" w:hAnsi="Palatino Linotype"/>
          <w:spacing w:val="20"/>
        </w:rPr>
        <w:t>,</w:t>
      </w:r>
      <w:r w:rsidR="00754279">
        <w:rPr>
          <w:rFonts w:ascii="Palatino Linotype" w:hAnsi="Palatino Linotype"/>
          <w:spacing w:val="20"/>
        </w:rPr>
        <w:t xml:space="preserve"> </w:t>
      </w:r>
      <w:r>
        <w:rPr>
          <w:rFonts w:ascii="Palatino Linotype" w:hAnsi="Palatino Linotype"/>
          <w:spacing w:val="20"/>
        </w:rPr>
        <w:t xml:space="preserve">poderá gerar um rombo de </w:t>
      </w:r>
      <w:r w:rsidRPr="00DE320C">
        <w:rPr>
          <w:rFonts w:ascii="Palatino Linotype" w:hAnsi="Palatino Linotype"/>
          <w:b/>
          <w:spacing w:val="20"/>
          <w:u w:val="single"/>
        </w:rPr>
        <w:t>150 bilhões</w:t>
      </w:r>
      <w:r>
        <w:rPr>
          <w:rFonts w:ascii="Palatino Linotype" w:hAnsi="Palatino Linotype"/>
          <w:spacing w:val="20"/>
        </w:rPr>
        <w:t xml:space="preserve">. </w:t>
      </w:r>
      <w:r w:rsidR="00351668">
        <w:rPr>
          <w:rFonts w:ascii="Palatino Linotype" w:hAnsi="Palatino Linotype"/>
          <w:spacing w:val="20"/>
        </w:rPr>
        <w:t xml:space="preserve">Haveria risco de crise do próprio sistema financeiro. </w:t>
      </w:r>
      <w:r>
        <w:rPr>
          <w:rFonts w:ascii="Palatino Linotype" w:hAnsi="Palatino Linotype"/>
          <w:spacing w:val="20"/>
        </w:rPr>
        <w:t xml:space="preserve">Os Bancos querem convencer o STF </w:t>
      </w:r>
      <w:r w:rsidR="00351668">
        <w:rPr>
          <w:rFonts w:ascii="Palatino Linotype" w:hAnsi="Palatino Linotype"/>
          <w:spacing w:val="20"/>
        </w:rPr>
        <w:t>a partir deste</w:t>
      </w:r>
      <w:r>
        <w:rPr>
          <w:rFonts w:ascii="Palatino Linotype" w:hAnsi="Palatino Linotype"/>
          <w:spacing w:val="20"/>
        </w:rPr>
        <w:t xml:space="preserve"> </w:t>
      </w:r>
      <w:r w:rsidRPr="00351668">
        <w:rPr>
          <w:rFonts w:ascii="Palatino Linotype" w:hAnsi="Palatino Linotype"/>
          <w:i/>
          <w:spacing w:val="20"/>
        </w:rPr>
        <w:t>terrorismo econômico</w:t>
      </w:r>
      <w:r>
        <w:rPr>
          <w:rFonts w:ascii="Palatino Linotype" w:hAnsi="Palatino Linotype"/>
          <w:spacing w:val="20"/>
        </w:rPr>
        <w:t>, reconhecendo que a questão jurídica não lhes favorece</w:t>
      </w:r>
      <w:r w:rsidR="00351668">
        <w:rPr>
          <w:rFonts w:ascii="Palatino Linotype" w:hAnsi="Palatino Linotype"/>
          <w:spacing w:val="20"/>
        </w:rPr>
        <w:t xml:space="preserve"> (há vinte anos todos os tribunais, STF incluído, vêm reconhecendo o direito dos poupadores)</w:t>
      </w:r>
      <w:r>
        <w:rPr>
          <w:rFonts w:ascii="Palatino Linotype" w:hAnsi="Palatino Linotype"/>
          <w:spacing w:val="20"/>
        </w:rPr>
        <w:t xml:space="preserve">. Ocorre que </w:t>
      </w:r>
      <w:r>
        <w:rPr>
          <w:rFonts w:ascii="Palatino Linotype" w:hAnsi="Palatino Linotype"/>
          <w:b/>
          <w:spacing w:val="20"/>
          <w:u w:val="single"/>
        </w:rPr>
        <w:t>o</w:t>
      </w:r>
      <w:r w:rsidRPr="00783D39">
        <w:rPr>
          <w:rFonts w:ascii="Palatino Linotype" w:hAnsi="Palatino Linotype"/>
          <w:b/>
          <w:spacing w:val="20"/>
          <w:u w:val="single"/>
        </w:rPr>
        <w:t>s dados são falsos</w:t>
      </w:r>
      <w:r>
        <w:rPr>
          <w:rFonts w:ascii="Palatino Linotype" w:hAnsi="Palatino Linotype"/>
          <w:spacing w:val="20"/>
        </w:rPr>
        <w:t xml:space="preserve">. E é muito simples mostrar </w:t>
      </w:r>
      <w:r w:rsidR="00351668">
        <w:rPr>
          <w:rFonts w:ascii="Palatino Linotype" w:hAnsi="Palatino Linotype"/>
          <w:spacing w:val="20"/>
        </w:rPr>
        <w:t>a falsidade d</w:t>
      </w:r>
      <w:r>
        <w:rPr>
          <w:rFonts w:ascii="Palatino Linotype" w:hAnsi="Palatino Linotype"/>
          <w:spacing w:val="20"/>
        </w:rPr>
        <w:t>os dados</w:t>
      </w:r>
      <w:r w:rsidR="00351668">
        <w:rPr>
          <w:rFonts w:ascii="Palatino Linotype" w:hAnsi="Palatino Linotype"/>
          <w:spacing w:val="20"/>
        </w:rPr>
        <w:t xml:space="preserve"> dos Bancos</w:t>
      </w:r>
      <w:r>
        <w:rPr>
          <w:rFonts w:ascii="Palatino Linotype" w:hAnsi="Palatino Linotype"/>
          <w:spacing w:val="20"/>
        </w:rPr>
        <w:t>.</w:t>
      </w:r>
    </w:p>
    <w:p w:rsidR="00C213E4" w:rsidRDefault="00327C7D" w:rsidP="00C213E4">
      <w:pPr>
        <w:pStyle w:val="PargrafodaLista"/>
        <w:numPr>
          <w:ilvl w:val="0"/>
          <w:numId w:val="1"/>
        </w:numPr>
        <w:spacing w:before="120" w:after="120" w:line="324" w:lineRule="auto"/>
        <w:jc w:val="both"/>
        <w:rPr>
          <w:rFonts w:ascii="Palatino Linotype" w:hAnsi="Palatino Linotype"/>
          <w:spacing w:val="20"/>
        </w:rPr>
      </w:pPr>
      <w:r w:rsidRPr="00C213E4">
        <w:rPr>
          <w:rFonts w:ascii="Palatino Linotype" w:hAnsi="Palatino Linotype"/>
          <w:spacing w:val="20"/>
        </w:rPr>
        <w:t>Em parecer apresentado no caso que vai a julgamento</w:t>
      </w:r>
      <w:r w:rsidR="00351668">
        <w:rPr>
          <w:rFonts w:ascii="Palatino Linotype" w:hAnsi="Palatino Linotype"/>
          <w:spacing w:val="20"/>
        </w:rPr>
        <w:t xml:space="preserve"> (ADPF 165)</w:t>
      </w:r>
      <w:r w:rsidRPr="00C213E4">
        <w:rPr>
          <w:rFonts w:ascii="Palatino Linotype" w:hAnsi="Palatino Linotype"/>
          <w:spacing w:val="20"/>
        </w:rPr>
        <w:t xml:space="preserve">, a </w:t>
      </w:r>
      <w:r w:rsidRPr="00C213E4">
        <w:rPr>
          <w:rFonts w:ascii="Palatino Linotype" w:hAnsi="Palatino Linotype"/>
          <w:b/>
          <w:spacing w:val="20"/>
          <w:u w:val="single"/>
        </w:rPr>
        <w:t>Procuradoria Geral da Justiça</w:t>
      </w:r>
      <w:r w:rsidRPr="00C213E4">
        <w:rPr>
          <w:rFonts w:ascii="Palatino Linotype" w:hAnsi="Palatino Linotype"/>
          <w:spacing w:val="20"/>
        </w:rPr>
        <w:t xml:space="preserve"> juntou parecer técnico demonstrando que, para chegar ao número de 150 bilhões, os Bancos consideraram que absolutamente todos os poupadores</w:t>
      </w:r>
      <w:r w:rsidR="00E52D2F">
        <w:rPr>
          <w:rFonts w:ascii="Palatino Linotype" w:hAnsi="Palatino Linotype"/>
          <w:spacing w:val="20"/>
        </w:rPr>
        <w:t>, de todos os planos,</w:t>
      </w:r>
      <w:r w:rsidRPr="00C213E4">
        <w:rPr>
          <w:rFonts w:ascii="Palatino Linotype" w:hAnsi="Palatino Linotype"/>
          <w:spacing w:val="20"/>
        </w:rPr>
        <w:t xml:space="preserve"> seriam </w:t>
      </w:r>
      <w:r w:rsidR="00351668">
        <w:rPr>
          <w:rFonts w:ascii="Palatino Linotype" w:hAnsi="Palatino Linotype"/>
          <w:spacing w:val="20"/>
        </w:rPr>
        <w:t>ressarcidos</w:t>
      </w:r>
      <w:r w:rsidR="00E52D2F">
        <w:rPr>
          <w:rFonts w:ascii="Palatino Linotype" w:hAnsi="Palatino Linotype"/>
          <w:spacing w:val="20"/>
        </w:rPr>
        <w:t xml:space="preserve"> (todos teriam interesse, todos teriam os documentos etc.)</w:t>
      </w:r>
      <w:r w:rsidRPr="00C213E4">
        <w:rPr>
          <w:rFonts w:ascii="Palatino Linotype" w:hAnsi="Palatino Linotype"/>
          <w:spacing w:val="20"/>
        </w:rPr>
        <w:t xml:space="preserve">. </w:t>
      </w:r>
      <w:r w:rsidR="00351668">
        <w:rPr>
          <w:rFonts w:ascii="Palatino Linotype" w:hAnsi="Palatino Linotype"/>
          <w:b/>
          <w:spacing w:val="20"/>
          <w:u w:val="single"/>
        </w:rPr>
        <w:t>Isso é</w:t>
      </w:r>
      <w:r w:rsidR="00DE320C" w:rsidRPr="00DE320C">
        <w:rPr>
          <w:rFonts w:ascii="Palatino Linotype" w:hAnsi="Palatino Linotype"/>
          <w:b/>
          <w:spacing w:val="20"/>
          <w:u w:val="single"/>
        </w:rPr>
        <w:t xml:space="preserve"> falso</w:t>
      </w:r>
      <w:r w:rsidR="00DE320C">
        <w:rPr>
          <w:rFonts w:ascii="Palatino Linotype" w:hAnsi="Palatino Linotype"/>
          <w:spacing w:val="20"/>
        </w:rPr>
        <w:t xml:space="preserve">. </w:t>
      </w:r>
      <w:r w:rsidRPr="00C213E4">
        <w:rPr>
          <w:rFonts w:ascii="Palatino Linotype" w:hAnsi="Palatino Linotype"/>
          <w:spacing w:val="20"/>
        </w:rPr>
        <w:t xml:space="preserve">A verdade é que apenas uma </w:t>
      </w:r>
      <w:r w:rsidRPr="00C213E4">
        <w:rPr>
          <w:rFonts w:ascii="Palatino Linotype" w:hAnsi="Palatino Linotype"/>
          <w:b/>
          <w:spacing w:val="20"/>
          <w:u w:val="single"/>
        </w:rPr>
        <w:t>pequena minoria</w:t>
      </w:r>
      <w:r w:rsidRPr="00C213E4">
        <w:rPr>
          <w:rFonts w:ascii="Palatino Linotype" w:hAnsi="Palatino Linotype"/>
          <w:spacing w:val="20"/>
        </w:rPr>
        <w:t xml:space="preserve"> recorreu ao Poder Judiciário. E </w:t>
      </w:r>
      <w:r w:rsidRPr="00C213E4">
        <w:rPr>
          <w:rFonts w:ascii="Palatino Linotype" w:hAnsi="Palatino Linotype"/>
          <w:b/>
          <w:spacing w:val="20"/>
          <w:u w:val="single"/>
        </w:rPr>
        <w:t xml:space="preserve">todas as ações </w:t>
      </w:r>
      <w:r w:rsidR="00351668">
        <w:rPr>
          <w:rFonts w:ascii="Palatino Linotype" w:hAnsi="Palatino Linotype"/>
          <w:b/>
          <w:spacing w:val="20"/>
          <w:u w:val="single"/>
        </w:rPr>
        <w:t xml:space="preserve">(referentes a todos os planos) </w:t>
      </w:r>
      <w:r w:rsidRPr="00C213E4">
        <w:rPr>
          <w:rFonts w:ascii="Palatino Linotype" w:hAnsi="Palatino Linotype"/>
          <w:b/>
          <w:spacing w:val="20"/>
          <w:u w:val="single"/>
        </w:rPr>
        <w:t>já estão prescritas</w:t>
      </w:r>
      <w:r w:rsidRPr="00C213E4">
        <w:rPr>
          <w:rFonts w:ascii="Palatino Linotype" w:hAnsi="Palatino Linotype"/>
          <w:spacing w:val="20"/>
        </w:rPr>
        <w:t xml:space="preserve">. E mais, em 2011 o STJ considerou prescritas </w:t>
      </w:r>
      <w:r w:rsidR="00C213E4" w:rsidRPr="00C213E4">
        <w:rPr>
          <w:rFonts w:ascii="Palatino Linotype" w:hAnsi="Palatino Linotype"/>
          <w:spacing w:val="20"/>
        </w:rPr>
        <w:t xml:space="preserve">quase </w:t>
      </w:r>
      <w:r w:rsidRPr="00C213E4">
        <w:rPr>
          <w:rFonts w:ascii="Palatino Linotype" w:hAnsi="Palatino Linotype"/>
          <w:spacing w:val="20"/>
        </w:rPr>
        <w:t xml:space="preserve">todas as ações </w:t>
      </w:r>
      <w:r w:rsidR="00351668">
        <w:rPr>
          <w:rFonts w:ascii="Palatino Linotype" w:hAnsi="Palatino Linotype"/>
          <w:spacing w:val="20"/>
        </w:rPr>
        <w:t xml:space="preserve">coletivas (ações </w:t>
      </w:r>
      <w:r w:rsidRPr="00C213E4">
        <w:rPr>
          <w:rFonts w:ascii="Palatino Linotype" w:hAnsi="Palatino Linotype"/>
          <w:spacing w:val="20"/>
        </w:rPr>
        <w:t>civis públicas</w:t>
      </w:r>
      <w:r w:rsidR="00351668">
        <w:rPr>
          <w:rFonts w:ascii="Palatino Linotype" w:hAnsi="Palatino Linotype"/>
          <w:spacing w:val="20"/>
        </w:rPr>
        <w:t>)</w:t>
      </w:r>
      <w:r w:rsidRPr="00C213E4">
        <w:rPr>
          <w:rFonts w:ascii="Palatino Linotype" w:hAnsi="Palatino Linotype"/>
          <w:spacing w:val="20"/>
        </w:rPr>
        <w:t xml:space="preserve"> propostas depois de cinco anos. Com isso foram extinta</w:t>
      </w:r>
      <w:r w:rsidR="00C213E4" w:rsidRPr="00C213E4">
        <w:rPr>
          <w:rFonts w:ascii="Palatino Linotype" w:hAnsi="Palatino Linotype"/>
          <w:spacing w:val="20"/>
        </w:rPr>
        <w:t>s 99</w:t>
      </w:r>
      <w:r w:rsidRPr="00C213E4">
        <w:rPr>
          <w:rFonts w:ascii="Palatino Linotype" w:hAnsi="Palatino Linotype"/>
          <w:spacing w:val="20"/>
        </w:rPr>
        <w:t>% das ações civis públicas</w:t>
      </w:r>
      <w:r w:rsidR="00C213E4" w:rsidRPr="00C213E4">
        <w:rPr>
          <w:rFonts w:ascii="Palatino Linotype" w:hAnsi="Palatino Linotype"/>
          <w:spacing w:val="20"/>
        </w:rPr>
        <w:t xml:space="preserve"> (sobraram apenas 15, das 1.030 que tramitavam)</w:t>
      </w:r>
      <w:r w:rsidRPr="00C213E4">
        <w:rPr>
          <w:rFonts w:ascii="Palatino Linotype" w:hAnsi="Palatino Linotype"/>
          <w:spacing w:val="20"/>
        </w:rPr>
        <w:t>.</w:t>
      </w:r>
      <w:r w:rsidR="00C213E4">
        <w:rPr>
          <w:rStyle w:val="Refdenotaderodap"/>
          <w:rFonts w:ascii="Palatino Linotype" w:hAnsi="Palatino Linotype"/>
          <w:spacing w:val="20"/>
        </w:rPr>
        <w:footnoteReference w:id="1"/>
      </w:r>
      <w:r w:rsidRPr="00C213E4">
        <w:rPr>
          <w:rFonts w:ascii="Palatino Linotype" w:hAnsi="Palatino Linotype"/>
          <w:spacing w:val="20"/>
        </w:rPr>
        <w:t xml:space="preserve"> Mais recentemente</w:t>
      </w:r>
      <w:r w:rsidR="00C213E4" w:rsidRPr="00C213E4">
        <w:rPr>
          <w:rFonts w:ascii="Palatino Linotype" w:hAnsi="Palatino Linotype"/>
          <w:spacing w:val="20"/>
        </w:rPr>
        <w:t>,</w:t>
      </w:r>
      <w:r w:rsidRPr="00C213E4">
        <w:rPr>
          <w:rFonts w:ascii="Palatino Linotype" w:hAnsi="Palatino Linotype"/>
          <w:spacing w:val="20"/>
        </w:rPr>
        <w:t xml:space="preserve"> </w:t>
      </w:r>
      <w:r w:rsidR="00C213E4" w:rsidRPr="00C213E4">
        <w:rPr>
          <w:rFonts w:ascii="Palatino Linotype" w:hAnsi="Palatino Linotype"/>
          <w:spacing w:val="20"/>
        </w:rPr>
        <w:t xml:space="preserve">o mesmo STJ </w:t>
      </w:r>
      <w:r w:rsidRPr="00C213E4">
        <w:rPr>
          <w:rFonts w:ascii="Palatino Linotype" w:hAnsi="Palatino Linotype"/>
          <w:spacing w:val="20"/>
        </w:rPr>
        <w:t xml:space="preserve">reconheceu </w:t>
      </w:r>
      <w:r w:rsidR="00C213E4" w:rsidRPr="00C213E4">
        <w:rPr>
          <w:rFonts w:ascii="Palatino Linotype" w:hAnsi="Palatino Linotype"/>
          <w:spacing w:val="20"/>
        </w:rPr>
        <w:t>que também é de cinco anos a execução individual das poucas ações civis públicas que restaram.</w:t>
      </w:r>
      <w:r w:rsidR="00C213E4">
        <w:rPr>
          <w:rStyle w:val="Refdenotaderodap"/>
          <w:rFonts w:ascii="Palatino Linotype" w:hAnsi="Palatino Linotype"/>
          <w:spacing w:val="20"/>
        </w:rPr>
        <w:footnoteReference w:id="2"/>
      </w:r>
      <w:r w:rsidR="00C213E4" w:rsidRPr="00C213E4">
        <w:rPr>
          <w:rFonts w:ascii="Palatino Linotype" w:hAnsi="Palatino Linotype"/>
          <w:spacing w:val="20"/>
        </w:rPr>
        <w:t xml:space="preserve"> </w:t>
      </w:r>
      <w:r w:rsidR="00C213E4">
        <w:rPr>
          <w:rFonts w:ascii="Palatino Linotype" w:hAnsi="Palatino Linotype"/>
          <w:spacing w:val="20"/>
        </w:rPr>
        <w:t xml:space="preserve">Isso </w:t>
      </w:r>
      <w:r w:rsidR="00C213E4">
        <w:rPr>
          <w:rFonts w:ascii="Palatino Linotype" w:hAnsi="Palatino Linotype"/>
          <w:spacing w:val="20"/>
        </w:rPr>
        <w:lastRenderedPageBreak/>
        <w:t>reduziu drasticamente o número de poupadores que tem chance de receber as diferenças</w:t>
      </w:r>
      <w:r w:rsidR="00E52D2F">
        <w:rPr>
          <w:rFonts w:ascii="Palatino Linotype" w:hAnsi="Palatino Linotype"/>
          <w:spacing w:val="20"/>
        </w:rPr>
        <w:t>. E o IDEC já havia demonstrado que havia um número ínfimo de execuções individuais nas ações civis públicas</w:t>
      </w:r>
      <w:r w:rsidR="00C213E4">
        <w:rPr>
          <w:rFonts w:ascii="Palatino Linotype" w:hAnsi="Palatino Linotype"/>
          <w:spacing w:val="20"/>
        </w:rPr>
        <w:t>;</w:t>
      </w:r>
    </w:p>
    <w:p w:rsidR="00E52D2F" w:rsidRDefault="00E52D2F" w:rsidP="00C213E4">
      <w:pPr>
        <w:pStyle w:val="PargrafodaLista"/>
        <w:numPr>
          <w:ilvl w:val="0"/>
          <w:numId w:val="1"/>
        </w:numPr>
        <w:spacing w:before="120" w:after="120" w:line="324" w:lineRule="auto"/>
        <w:jc w:val="both"/>
        <w:rPr>
          <w:rFonts w:ascii="Palatino Linotype" w:hAnsi="Palatino Linotype"/>
          <w:spacing w:val="20"/>
        </w:rPr>
      </w:pPr>
      <w:r>
        <w:rPr>
          <w:rFonts w:ascii="Palatino Linotype" w:hAnsi="Palatino Linotype"/>
          <w:spacing w:val="20"/>
        </w:rPr>
        <w:t>Dos 150 bilhões, 87 bilhões referem-se a valor do Plano Collor I – já descartado pelo STJ. Incluir o plano Collor I na conta é um ato de extrema má-fé;</w:t>
      </w:r>
    </w:p>
    <w:p w:rsidR="00E52D2F" w:rsidRDefault="00E52D2F" w:rsidP="00C213E4">
      <w:pPr>
        <w:pStyle w:val="PargrafodaLista"/>
        <w:numPr>
          <w:ilvl w:val="0"/>
          <w:numId w:val="1"/>
        </w:numPr>
        <w:spacing w:before="120" w:after="120" w:line="324" w:lineRule="auto"/>
        <w:jc w:val="both"/>
        <w:rPr>
          <w:rFonts w:ascii="Palatino Linotype" w:hAnsi="Palatino Linotype"/>
          <w:spacing w:val="20"/>
        </w:rPr>
      </w:pPr>
      <w:r>
        <w:rPr>
          <w:rFonts w:ascii="Palatino Linotype" w:hAnsi="Palatino Linotype"/>
          <w:spacing w:val="20"/>
        </w:rPr>
        <w:t xml:space="preserve">A CONSIF indicou na ADPF 550 mil ações. Isso em vinte anos de discussão. O próprio direito jurídico da </w:t>
      </w:r>
      <w:proofErr w:type="gramStart"/>
      <w:r>
        <w:rPr>
          <w:rFonts w:ascii="Palatino Linotype" w:hAnsi="Palatino Linotype"/>
          <w:spacing w:val="20"/>
        </w:rPr>
        <w:t>Febraban</w:t>
      </w:r>
      <w:proofErr w:type="gramEnd"/>
      <w:r>
        <w:rPr>
          <w:rFonts w:ascii="Palatino Linotype" w:hAnsi="Palatino Linotype"/>
          <w:spacing w:val="20"/>
        </w:rPr>
        <w:t xml:space="preserve"> reconheceu o valor médio das ações é de cinco mil reais (como apontou a perícia da Procuradoria Geral da República); </w:t>
      </w:r>
    </w:p>
    <w:p w:rsidR="00C213E4" w:rsidRDefault="00C213E4" w:rsidP="00C213E4">
      <w:pPr>
        <w:pStyle w:val="PargrafodaLista"/>
        <w:numPr>
          <w:ilvl w:val="0"/>
          <w:numId w:val="1"/>
        </w:numPr>
        <w:spacing w:before="120" w:after="120" w:line="324" w:lineRule="auto"/>
        <w:jc w:val="both"/>
        <w:rPr>
          <w:rFonts w:ascii="Palatino Linotype" w:hAnsi="Palatino Linotype"/>
          <w:spacing w:val="20"/>
        </w:rPr>
      </w:pPr>
      <w:r>
        <w:rPr>
          <w:rFonts w:ascii="Palatino Linotype" w:hAnsi="Palatino Linotype"/>
          <w:spacing w:val="20"/>
        </w:rPr>
        <w:t xml:space="preserve">Há um dado ainda mais impressionante. O IDEC auditou os balanços dos seis maiores Bancos </w:t>
      </w:r>
      <w:r w:rsidR="00180948">
        <w:rPr>
          <w:rFonts w:ascii="Palatino Linotype" w:hAnsi="Palatino Linotype"/>
          <w:spacing w:val="20"/>
        </w:rPr>
        <w:t>(incluindo CEF e BB)</w:t>
      </w:r>
      <w:r>
        <w:rPr>
          <w:rFonts w:ascii="Palatino Linotype" w:hAnsi="Palatino Linotype"/>
          <w:spacing w:val="20"/>
        </w:rPr>
        <w:t xml:space="preserve"> e descobriu que há tão só </w:t>
      </w:r>
      <w:r w:rsidRPr="00C213E4">
        <w:rPr>
          <w:rFonts w:ascii="Palatino Linotype" w:hAnsi="Palatino Linotype"/>
          <w:spacing w:val="20"/>
        </w:rPr>
        <w:t>18 bilhões</w:t>
      </w:r>
      <w:r>
        <w:rPr>
          <w:rFonts w:ascii="Palatino Linotype" w:hAnsi="Palatino Linotype"/>
          <w:spacing w:val="20"/>
        </w:rPr>
        <w:t xml:space="preserve"> provisionados para perdas de todas as ações cíveis. Mas este não é o valor correto</w:t>
      </w:r>
      <w:r w:rsidR="00180948">
        <w:rPr>
          <w:rFonts w:ascii="Palatino Linotype" w:hAnsi="Palatino Linotype"/>
          <w:spacing w:val="20"/>
        </w:rPr>
        <w:t>, pois há ações cíveis que não tratam de planos econômicos</w:t>
      </w:r>
      <w:r>
        <w:rPr>
          <w:rFonts w:ascii="Palatino Linotype" w:hAnsi="Palatino Linotype"/>
          <w:spacing w:val="20"/>
        </w:rPr>
        <w:t xml:space="preserve">. A maioria dos bancos não segrega as ações que tratam de planos econômicos. A CEF, banco que faz a separação, revela que apenas </w:t>
      </w:r>
      <w:r w:rsidRPr="00C213E4">
        <w:rPr>
          <w:rFonts w:ascii="Palatino Linotype" w:hAnsi="Palatino Linotype"/>
          <w:b/>
          <w:spacing w:val="20"/>
          <w:u w:val="single"/>
        </w:rPr>
        <w:t>um terço</w:t>
      </w:r>
      <w:r>
        <w:rPr>
          <w:rFonts w:ascii="Palatino Linotype" w:hAnsi="Palatino Linotype"/>
          <w:spacing w:val="20"/>
        </w:rPr>
        <w:t xml:space="preserve"> do valor provisionado </w:t>
      </w:r>
      <w:r w:rsidR="00351668">
        <w:rPr>
          <w:rFonts w:ascii="Palatino Linotype" w:hAnsi="Palatino Linotype"/>
          <w:spacing w:val="20"/>
        </w:rPr>
        <w:t xml:space="preserve">sob a rubrica “ações cíveis” </w:t>
      </w:r>
      <w:r>
        <w:rPr>
          <w:rFonts w:ascii="Palatino Linotype" w:hAnsi="Palatino Linotype"/>
          <w:spacing w:val="20"/>
        </w:rPr>
        <w:t xml:space="preserve">é para planos econômicos. </w:t>
      </w:r>
      <w:r w:rsidR="00A00AB0">
        <w:rPr>
          <w:rFonts w:ascii="Palatino Linotype" w:hAnsi="Palatino Linotype"/>
          <w:spacing w:val="20"/>
        </w:rPr>
        <w:t xml:space="preserve">A considerar esta mesma </w:t>
      </w:r>
      <w:r>
        <w:rPr>
          <w:rFonts w:ascii="Palatino Linotype" w:hAnsi="Palatino Linotype"/>
          <w:spacing w:val="20"/>
        </w:rPr>
        <w:t>média, os seis maiores banco</w:t>
      </w:r>
      <w:r w:rsidR="00A00AB0">
        <w:rPr>
          <w:rFonts w:ascii="Palatino Linotype" w:hAnsi="Palatino Linotype"/>
          <w:spacing w:val="20"/>
        </w:rPr>
        <w:t>s</w:t>
      </w:r>
      <w:r>
        <w:rPr>
          <w:rFonts w:ascii="Palatino Linotype" w:hAnsi="Palatino Linotype"/>
          <w:spacing w:val="20"/>
        </w:rPr>
        <w:t xml:space="preserve"> têm </w:t>
      </w:r>
      <w:r w:rsidRPr="00C213E4">
        <w:rPr>
          <w:rFonts w:ascii="Palatino Linotype" w:hAnsi="Palatino Linotype"/>
          <w:b/>
          <w:spacing w:val="20"/>
          <w:u w:val="single"/>
        </w:rPr>
        <w:t>apenas seis bilhões</w:t>
      </w:r>
      <w:r>
        <w:rPr>
          <w:rFonts w:ascii="Palatino Linotype" w:hAnsi="Palatino Linotype"/>
          <w:spacing w:val="20"/>
        </w:rPr>
        <w:t xml:space="preserve"> de reais provisionados. Não </w:t>
      </w:r>
      <w:r w:rsidR="00A00AB0">
        <w:rPr>
          <w:rFonts w:ascii="Palatino Linotype" w:hAnsi="Palatino Linotype"/>
          <w:spacing w:val="20"/>
        </w:rPr>
        <w:t xml:space="preserve">é verossímil supor que os </w:t>
      </w:r>
      <w:proofErr w:type="spellStart"/>
      <w:r w:rsidR="00A00AB0">
        <w:rPr>
          <w:rFonts w:ascii="Palatino Linotype" w:hAnsi="Palatino Linotype"/>
          <w:spacing w:val="20"/>
        </w:rPr>
        <w:t>c</w:t>
      </w:r>
      <w:r>
        <w:rPr>
          <w:rFonts w:ascii="Palatino Linotype" w:hAnsi="Palatino Linotype"/>
          <w:spacing w:val="20"/>
        </w:rPr>
        <w:t>ancos</w:t>
      </w:r>
      <w:proofErr w:type="spellEnd"/>
      <w:r>
        <w:rPr>
          <w:rFonts w:ascii="Palatino Linotype" w:hAnsi="Palatino Linotype"/>
          <w:spacing w:val="20"/>
        </w:rPr>
        <w:t xml:space="preserve"> (sociedades anônimas de capital aberto) tenham </w:t>
      </w:r>
      <w:r w:rsidR="00180948">
        <w:rPr>
          <w:rFonts w:ascii="Palatino Linotype" w:hAnsi="Palatino Linotype"/>
          <w:spacing w:val="20"/>
        </w:rPr>
        <w:t>manipulados seus balanços;</w:t>
      </w:r>
    </w:p>
    <w:p w:rsidR="00180948" w:rsidRPr="00A00AB0" w:rsidRDefault="00180948" w:rsidP="00A00AB0">
      <w:pPr>
        <w:pStyle w:val="PargrafodaLista"/>
        <w:numPr>
          <w:ilvl w:val="0"/>
          <w:numId w:val="1"/>
        </w:numPr>
        <w:spacing w:before="120" w:after="120" w:line="324" w:lineRule="auto"/>
        <w:jc w:val="both"/>
        <w:rPr>
          <w:rFonts w:ascii="Palatino Linotype" w:hAnsi="Palatino Linotype"/>
          <w:spacing w:val="20"/>
        </w:rPr>
      </w:pPr>
      <w:r w:rsidRPr="00180948">
        <w:rPr>
          <w:rFonts w:ascii="Palatino Linotype" w:hAnsi="Palatino Linotype"/>
          <w:b/>
          <w:spacing w:val="20"/>
          <w:u w:val="single"/>
        </w:rPr>
        <w:t xml:space="preserve">O número correto é este mesmo: </w:t>
      </w:r>
      <w:r>
        <w:rPr>
          <w:rFonts w:ascii="Palatino Linotype" w:hAnsi="Palatino Linotype"/>
          <w:b/>
          <w:spacing w:val="20"/>
          <w:u w:val="single"/>
        </w:rPr>
        <w:t xml:space="preserve">algo em torno de </w:t>
      </w:r>
      <w:r w:rsidR="00A00AB0">
        <w:rPr>
          <w:rFonts w:ascii="Palatino Linotype" w:hAnsi="Palatino Linotype"/>
          <w:b/>
          <w:spacing w:val="20"/>
          <w:u w:val="single"/>
        </w:rPr>
        <w:t>oito</w:t>
      </w:r>
      <w:r>
        <w:rPr>
          <w:rFonts w:ascii="Palatino Linotype" w:hAnsi="Palatino Linotype"/>
          <w:b/>
          <w:spacing w:val="20"/>
          <w:u w:val="single"/>
        </w:rPr>
        <w:t xml:space="preserve"> </w:t>
      </w:r>
      <w:r w:rsidRPr="00180948">
        <w:rPr>
          <w:rFonts w:ascii="Palatino Linotype" w:hAnsi="Palatino Linotype"/>
          <w:b/>
          <w:spacing w:val="20"/>
          <w:u w:val="single"/>
        </w:rPr>
        <w:t>bilhões</w:t>
      </w:r>
      <w:r>
        <w:rPr>
          <w:rFonts w:ascii="Palatino Linotype" w:hAnsi="Palatino Linotype"/>
          <w:spacing w:val="20"/>
        </w:rPr>
        <w:t xml:space="preserve"> (considerando todos os bancos). </w:t>
      </w:r>
      <w:r w:rsidRPr="00A00AB0">
        <w:rPr>
          <w:rFonts w:ascii="Palatino Linotype" w:hAnsi="Palatino Linotype"/>
          <w:spacing w:val="20"/>
        </w:rPr>
        <w:t>É pouco mais da metade do lucro Itaú-Unibanco apenas em 2012 (</w:t>
      </w:r>
      <w:r w:rsidRPr="00A00AB0">
        <w:rPr>
          <w:rFonts w:ascii="Palatino Linotype" w:hAnsi="Palatino Linotype"/>
          <w:b/>
          <w:spacing w:val="20"/>
          <w:u w:val="single"/>
        </w:rPr>
        <w:t>13,5 bilhões</w:t>
      </w:r>
      <w:r w:rsidRPr="00A00AB0">
        <w:rPr>
          <w:rFonts w:ascii="Palatino Linotype" w:hAnsi="Palatino Linotype"/>
          <w:spacing w:val="20"/>
        </w:rPr>
        <w:t>).</w:t>
      </w:r>
      <w:r>
        <w:rPr>
          <w:rStyle w:val="Refdenotaderodap"/>
          <w:rFonts w:ascii="Palatino Linotype" w:hAnsi="Palatino Linotype"/>
          <w:spacing w:val="20"/>
        </w:rPr>
        <w:footnoteReference w:id="3"/>
      </w:r>
      <w:r w:rsidRPr="00A00AB0">
        <w:rPr>
          <w:rFonts w:ascii="Palatino Linotype" w:hAnsi="Palatino Linotype"/>
          <w:spacing w:val="20"/>
        </w:rPr>
        <w:t xml:space="preserve"> E o valor será pago ao longo de dez anos – tempo médio de tramitação das ações. É, portanto, simplesmente </w:t>
      </w:r>
      <w:r w:rsidRPr="00A00AB0">
        <w:rPr>
          <w:rFonts w:ascii="Palatino Linotype" w:hAnsi="Palatino Linotype"/>
          <w:spacing w:val="20"/>
        </w:rPr>
        <w:lastRenderedPageBreak/>
        <w:t>ridículo falar em crise dos Bancos</w:t>
      </w:r>
      <w:r w:rsidR="00A00AB0">
        <w:rPr>
          <w:rFonts w:ascii="Palatino Linotype" w:hAnsi="Palatino Linotype"/>
          <w:spacing w:val="20"/>
        </w:rPr>
        <w:t xml:space="preserve"> ou, o que é pior, do sistema financeiro</w:t>
      </w:r>
      <w:r w:rsidRPr="00A00AB0">
        <w:rPr>
          <w:rFonts w:ascii="Palatino Linotype" w:hAnsi="Palatino Linotype"/>
          <w:spacing w:val="20"/>
        </w:rPr>
        <w:t>.</w:t>
      </w:r>
    </w:p>
    <w:p w:rsidR="00C213E4" w:rsidRDefault="00180948" w:rsidP="00180948">
      <w:pPr>
        <w:spacing w:before="120" w:after="120" w:line="324" w:lineRule="auto"/>
        <w:ind w:left="360" w:firstLine="348"/>
        <w:jc w:val="both"/>
        <w:rPr>
          <w:rFonts w:ascii="Palatino Linotype" w:hAnsi="Palatino Linotype"/>
          <w:spacing w:val="20"/>
        </w:rPr>
      </w:pPr>
      <w:r>
        <w:rPr>
          <w:rFonts w:ascii="Palatino Linotype" w:hAnsi="Palatino Linotype"/>
          <w:spacing w:val="20"/>
        </w:rPr>
        <w:t>E não é demais lembrar que os Bancos ganharam centenas de bilhões de reais com a forma ilegal de correção da poupança (como sempre reconheceram os tribunais, inclusive o Supremo), prejudicando os poupadores. Estudo da Procuradoria Geral da República apontou ganhos de 450 bilhões de reais.</w:t>
      </w:r>
      <w:proofErr w:type="gramStart"/>
      <w:r>
        <w:rPr>
          <w:rStyle w:val="Refdenotaderodap"/>
          <w:rFonts w:ascii="Palatino Linotype" w:hAnsi="Palatino Linotype"/>
          <w:spacing w:val="20"/>
        </w:rPr>
        <w:footnoteReference w:id="4"/>
      </w:r>
      <w:proofErr w:type="gramEnd"/>
    </w:p>
    <w:p w:rsidR="00C213E4" w:rsidRDefault="00C213E4" w:rsidP="00C213E4">
      <w:pPr>
        <w:spacing w:before="120" w:after="120" w:line="324" w:lineRule="auto"/>
        <w:jc w:val="both"/>
        <w:rPr>
          <w:rFonts w:ascii="Palatino Linotype" w:hAnsi="Palatino Linotype"/>
          <w:spacing w:val="20"/>
        </w:rPr>
      </w:pPr>
    </w:p>
    <w:p w:rsidR="00A00AB0" w:rsidRPr="00A00AB0" w:rsidRDefault="00A00AB0" w:rsidP="00A00AB0">
      <w:pPr>
        <w:spacing w:before="120" w:after="120" w:line="324" w:lineRule="auto"/>
        <w:jc w:val="center"/>
        <w:rPr>
          <w:rFonts w:ascii="Palatino Linotype" w:hAnsi="Palatino Linotype"/>
          <w:smallCaps/>
          <w:spacing w:val="20"/>
        </w:rPr>
      </w:pPr>
      <w:r w:rsidRPr="00A00AB0">
        <w:rPr>
          <w:rFonts w:ascii="Palatino Linotype" w:hAnsi="Palatino Linotype"/>
          <w:smallCaps/>
          <w:spacing w:val="20"/>
        </w:rPr>
        <w:t>Luiz Fernando Pereira</w:t>
      </w:r>
    </w:p>
    <w:p w:rsidR="00180948" w:rsidRPr="00A00AB0" w:rsidRDefault="00A00AB0" w:rsidP="00A00AB0">
      <w:pPr>
        <w:spacing w:before="120" w:after="120" w:line="324" w:lineRule="auto"/>
        <w:jc w:val="center"/>
        <w:rPr>
          <w:rFonts w:ascii="Palatino Linotype" w:hAnsi="Palatino Linotype"/>
          <w:spacing w:val="20"/>
          <w:sz w:val="18"/>
          <w:szCs w:val="18"/>
        </w:rPr>
      </w:pPr>
      <w:r>
        <w:rPr>
          <w:rFonts w:ascii="Palatino Linotype" w:hAnsi="Palatino Linotype"/>
          <w:spacing w:val="20"/>
          <w:sz w:val="18"/>
          <w:szCs w:val="18"/>
        </w:rPr>
        <w:t>Mestre e Doutor em Direito pela UFPR, é o advogado que representará os poupadores nos recursos que vão a julgamento no próximo dia 27 de novembro.</w:t>
      </w:r>
    </w:p>
    <w:sectPr w:rsidR="00180948" w:rsidRPr="00A00AB0" w:rsidSect="005A0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21" w:rsidRDefault="00B85121" w:rsidP="00C213E4">
      <w:r>
        <w:separator/>
      </w:r>
    </w:p>
  </w:endnote>
  <w:endnote w:type="continuationSeparator" w:id="0">
    <w:p w:rsidR="00B85121" w:rsidRDefault="00B85121" w:rsidP="00C2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21" w:rsidRDefault="00B85121" w:rsidP="00C213E4">
      <w:r>
        <w:separator/>
      </w:r>
    </w:p>
  </w:footnote>
  <w:footnote w:type="continuationSeparator" w:id="0">
    <w:p w:rsidR="00B85121" w:rsidRDefault="00B85121" w:rsidP="00C213E4">
      <w:r>
        <w:continuationSeparator/>
      </w:r>
    </w:p>
  </w:footnote>
  <w:footnote w:id="1">
    <w:p w:rsidR="00C213E4" w:rsidRPr="00C213E4" w:rsidRDefault="00C213E4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2655D9">
          <w:rPr>
            <w:rStyle w:val="Hyperlink"/>
          </w:rPr>
          <w:t>http://www.infomoney.com.br/minhas-financas/noticia/1933817/planos-economicos-com-decisao-stj-das-acoes-nao-devem-prosseguir</w:t>
        </w:r>
      </w:hyperlink>
      <w:r>
        <w:t xml:space="preserve"> </w:t>
      </w:r>
    </w:p>
  </w:footnote>
  <w:footnote w:id="2">
    <w:p w:rsidR="00C213E4" w:rsidRPr="00C213E4" w:rsidRDefault="00C213E4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C213E4">
        <w:rPr>
          <w:lang w:val="en-US"/>
        </w:rPr>
        <w:t xml:space="preserve"> </w:t>
      </w:r>
      <w:hyperlink r:id="rId2" w:history="1">
        <w:r w:rsidRPr="002655D9">
          <w:rPr>
            <w:rStyle w:val="Hyperlink"/>
            <w:lang w:val="en-US"/>
          </w:rPr>
          <w:t>http://www.stj.jus.br/portal_stj/publicacao/engine.wsp?tmp.area=398&amp;tmp.texto=103354</w:t>
        </w:r>
      </w:hyperlink>
      <w:r>
        <w:rPr>
          <w:lang w:val="en-US"/>
        </w:rPr>
        <w:t xml:space="preserve"> </w:t>
      </w:r>
    </w:p>
  </w:footnote>
  <w:footnote w:id="3">
    <w:p w:rsidR="00180948" w:rsidRPr="00180948" w:rsidRDefault="00180948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180948">
        <w:rPr>
          <w:lang w:val="en-US"/>
        </w:rPr>
        <w:t xml:space="preserve"> </w:t>
      </w:r>
      <w:hyperlink r:id="rId3" w:history="1">
        <w:r w:rsidRPr="002655D9">
          <w:rPr>
            <w:rStyle w:val="Hyperlink"/>
            <w:lang w:val="en-US"/>
          </w:rPr>
          <w:t>http://exame.abril.com.br/negocios/noticias/os-13-maiores-lucros-dos-bancos-brasileiros-em-2012</w:t>
        </w:r>
      </w:hyperlink>
      <w:r>
        <w:rPr>
          <w:lang w:val="en-US"/>
        </w:rPr>
        <w:t xml:space="preserve"> </w:t>
      </w:r>
    </w:p>
  </w:footnote>
  <w:footnote w:id="4">
    <w:p w:rsidR="00180948" w:rsidRPr="00180948" w:rsidRDefault="0018094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80948">
        <w:t xml:space="preserve">Para um exame mais apurado, conferir </w:t>
      </w:r>
      <w:hyperlink r:id="rId4" w:history="1">
        <w:r w:rsidRPr="002655D9">
          <w:rPr>
            <w:rStyle w:val="Hyperlink"/>
          </w:rPr>
          <w:t>http://www.conjur.com.br/2013-nov-19/luiz-pereira-indice-vigente-inicio-contrato-corrige-saldo-poupanca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4F9D"/>
    <w:multiLevelType w:val="hybridMultilevel"/>
    <w:tmpl w:val="A66615CA"/>
    <w:lvl w:ilvl="0" w:tplc="153855A2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1A"/>
    <w:rsid w:val="00044796"/>
    <w:rsid w:val="00054AEC"/>
    <w:rsid w:val="000C160D"/>
    <w:rsid w:val="000C1EF6"/>
    <w:rsid w:val="000D58E9"/>
    <w:rsid w:val="000F612D"/>
    <w:rsid w:val="000F7209"/>
    <w:rsid w:val="00164669"/>
    <w:rsid w:val="00180948"/>
    <w:rsid w:val="00196B6D"/>
    <w:rsid w:val="001D3CA9"/>
    <w:rsid w:val="001E2C0F"/>
    <w:rsid w:val="00257401"/>
    <w:rsid w:val="002605CD"/>
    <w:rsid w:val="00277060"/>
    <w:rsid w:val="002B4E3C"/>
    <w:rsid w:val="002C2605"/>
    <w:rsid w:val="00323281"/>
    <w:rsid w:val="00327C7D"/>
    <w:rsid w:val="0034501A"/>
    <w:rsid w:val="00351668"/>
    <w:rsid w:val="0035618A"/>
    <w:rsid w:val="00391231"/>
    <w:rsid w:val="003A19B0"/>
    <w:rsid w:val="003A1B97"/>
    <w:rsid w:val="0042278D"/>
    <w:rsid w:val="004452CA"/>
    <w:rsid w:val="00453A41"/>
    <w:rsid w:val="00467B79"/>
    <w:rsid w:val="004A5552"/>
    <w:rsid w:val="005325E1"/>
    <w:rsid w:val="0056018E"/>
    <w:rsid w:val="00591D8D"/>
    <w:rsid w:val="005A0183"/>
    <w:rsid w:val="005A3E4A"/>
    <w:rsid w:val="005B4627"/>
    <w:rsid w:val="005F732C"/>
    <w:rsid w:val="006045AD"/>
    <w:rsid w:val="00611812"/>
    <w:rsid w:val="0063599C"/>
    <w:rsid w:val="00681A4F"/>
    <w:rsid w:val="006A0068"/>
    <w:rsid w:val="00754279"/>
    <w:rsid w:val="00783D39"/>
    <w:rsid w:val="007A745B"/>
    <w:rsid w:val="00842B89"/>
    <w:rsid w:val="008C468C"/>
    <w:rsid w:val="009078A6"/>
    <w:rsid w:val="0098471F"/>
    <w:rsid w:val="009B7DDF"/>
    <w:rsid w:val="009C2A0C"/>
    <w:rsid w:val="00A00AB0"/>
    <w:rsid w:val="00A33CD8"/>
    <w:rsid w:val="00A53126"/>
    <w:rsid w:val="00A54E97"/>
    <w:rsid w:val="00A6777B"/>
    <w:rsid w:val="00A913D7"/>
    <w:rsid w:val="00AC7F94"/>
    <w:rsid w:val="00AD0E96"/>
    <w:rsid w:val="00B07D8C"/>
    <w:rsid w:val="00B85121"/>
    <w:rsid w:val="00C1025C"/>
    <w:rsid w:val="00C213E4"/>
    <w:rsid w:val="00C26E96"/>
    <w:rsid w:val="00C85277"/>
    <w:rsid w:val="00D13B4D"/>
    <w:rsid w:val="00D54EEA"/>
    <w:rsid w:val="00D638C5"/>
    <w:rsid w:val="00D83AAB"/>
    <w:rsid w:val="00DE320C"/>
    <w:rsid w:val="00E10078"/>
    <w:rsid w:val="00E52D2F"/>
    <w:rsid w:val="00E64BAA"/>
    <w:rsid w:val="00E65A71"/>
    <w:rsid w:val="00ED6217"/>
    <w:rsid w:val="00EE1FCD"/>
    <w:rsid w:val="00F201C5"/>
    <w:rsid w:val="00F20E49"/>
    <w:rsid w:val="00F73F8A"/>
    <w:rsid w:val="00F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83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7C7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13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13E4"/>
    <w:rPr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213E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213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83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7C7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13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13E4"/>
    <w:rPr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213E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21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xame.abril.com.br/negocios/noticias/os-13-maiores-lucros-dos-bancos-brasileiros-em-2012" TargetMode="External"/><Relationship Id="rId2" Type="http://schemas.openxmlformats.org/officeDocument/2006/relationships/hyperlink" Target="http://www.stj.jus.br/portal_stj/publicacao/engine.wsp?tmp.area=398&amp;tmp.texto=103354" TargetMode="External"/><Relationship Id="rId1" Type="http://schemas.openxmlformats.org/officeDocument/2006/relationships/hyperlink" Target="http://www.infomoney.com.br/minhas-financas/noticia/1933817/planos-economicos-com-decisao-stj-das-acoes-nao-devem-prosseguir" TargetMode="External"/><Relationship Id="rId4" Type="http://schemas.openxmlformats.org/officeDocument/2006/relationships/hyperlink" Target="http://www.conjur.com.br/2013-nov-19/luiz-pereira-indice-vigente-inicio-contrato-corrige-saldo-poupanc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 início do ano a CONSIF, entidade representativa dos Bancos, ajuizou uma ADPF no STF para fulminar o direito dos poupadores em reaver as perdas causadas pelos planos de estabilização Cruzado, Bresser, Verão, Collor 1 e Collor 2, entre 1986 e 1991</vt:lpstr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início do ano a CONSIF, entidade representativa dos Bancos, ajuizou uma ADPF no STF para fulminar o direito dos poupadores em reaver as perdas causadas pelos planos de estabilização Cruzado, Bresser, Verão, Collor 1 e Collor 2, entre 1986 e 1991</dc:title>
  <dc:creator>User</dc:creator>
  <cp:lastModifiedBy>migalhas</cp:lastModifiedBy>
  <cp:revision>2</cp:revision>
  <cp:lastPrinted>2009-07-30T21:12:00Z</cp:lastPrinted>
  <dcterms:created xsi:type="dcterms:W3CDTF">2013-11-28T12:00:00Z</dcterms:created>
  <dcterms:modified xsi:type="dcterms:W3CDTF">2013-11-28T12:00:00Z</dcterms:modified>
</cp:coreProperties>
</file>